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7578-2019,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diciembre de 2019, tuvo entrada en el registro general de este Tribunal Constitucional un escrito de la procuradora doña Blanca Berriatua Horta, en representación de la entidad Euroinversiones Inmobiliarias Costa Sur, S.L., por el que interpuso recurso de amparo contra el auto de 20 de noviembre de 2018, del Juzgado de Primera Instancia e Instrucción núm. 4 de Lorca, que inadmitió el escrito de oposición a la ejecución hipotecaria promovida por Banco de Sabadell, S.A., y contra el auto del mismo Juzgado, de 11 de noviembre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20 de noviembre de 2018, el juzgado de primera instancia e instrucción ya indicado dictó un auto en el procedimiento de ejecución hipotecaria núm. 361-2018 por el que acordó: “Inadmitir a trámite la oposición formulada por la parte ejecutada Euroinversiones Inmobiliarias Costa Sur, S.L., y Penrei Inversiones, S.L., […] por estar presentada fuera de plazo”, advirtiendo en pie de recurso, por error, que contra dicha resolución cabía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de la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lo admitió a trámite, dictando auto el 11 de noviembre de 2019 en sentido desestimatorio, con confirmación de la resolución recurrida, en virtud de los motivos expresados en su fundamento de Derecho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ser desestimado el recurso de reposición interpuesto por ser el auto recurrido conforme a la normativa procesal vigente en materia de oposición a la ejecución (artículos 556.1 LEC y concordantes) y de actos de comunicación. Así, pese a las alegaciones del recurrente que pretende mantener que el escrito de oposición fue presentado en plazo para ello por entender que el auto despachando la ejecución y el requerimiento efectuado deben entenderse notificados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artículos citados como infringidos por la parte recurrente (arts. 135, 152, 162 y 273 y siguientes de la LEC) han sido perfectamente respetados en el presente procedimiento. La propia parte recurrente afirma estar obligada a utilizar los medios electrónicos en sus comunicaciones con el juzgado y afirma que la notificación se remitió a la dirección de correo electrónico ‘habilitada’ del titular a las que se refiere el art. 162 de la LEC, que tiene carácter de norma especial, destinada a regular los actos de comunicación por medios electrónicos o similares. No existiendo discusión ni duda acerca de la aplicabilidad de dicho precepto, al reconocer la propia recurrente la obligatoriedad en el uso de dichos medios en las relaciones con la Administración de Justicia, se llega a la conclusión de que lo dispuesto en el mismo es claro y ha sido respetado. Del propio documento núm. 1 aportado con el escrito interponiendo recurso de reposición y de las propias alegaciones vertidas por la recurrente, resulta la correcta recepción de la notificación en fecha 27/06/2018, fecha en la que se materializó la ‘puesta a disposición’ de la notificación correctamente y del propio documento resulta que pasaron más de tres días desde la misma sin que se hubiera accedido al contenido hasta el día 3 de agosto de 2018, por tanto, en aplicación estricta de lo dispuesto en el apartado segundo del art. 162 de la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precluido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“Contra este auto no cabe recurso alguno, sin perjuicio de reproducir la cuestión objeto de la reposición al recurrir, si fuera posible, la resolución definitiva (artículo 454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20 de noviembre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11 de noviembre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solicita “la suspensión de la continuación del procedimiento de ejecución hipotecaria 361-2018 seguido ante el Juzgado de Primera Instancia e Instrucción número 4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14 de enero de 2020 solicitando al juzgado a quo la remisión de certificación o fotocopia adverada de las actuaciones correspondientes del procedimiento de ejecución hipotecaria núm. 361-2018.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4 de noviembre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 los siguientes motivos: 1.- El recurso plantea un problema o afecta a una faceta de un derecho fundamental sobre el que no hay doctrina de este tribunal [STC 155/2009, FJ 2 a)]. 2.-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habiéndose interesado anteriormente la remisión de copia testimoniada de la ejecución hipotecaria 361-2018, en aplicación de lo dispuesto en el artículo 51 de la Ley Orgánica de este Tribunal, diríjase atenta comunicación al Juzgado de Primera Instancia e Instrucción núm. 4 de Lorca a fin de que, en plazo que no exceda de diez días, se proceda a emplazar a quienes hubieran sido parte en el procedimiento, excepto la parte recurrente en amparo, para que, si lo desean,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4 de noviembre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12 de noviembre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 perder al recurso de amparo su finalidad y provocaría perjuicios patrimoniales para mi representada de imposible o difícil reparación”. Invoca a su favor lo resuelto por este tribunal en sus AATC 21/2018, de 5 de marzo, y 58/2018, de 4 de junio,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fiscal ante este Tribunal Constitucional formalizó su escrito de alegaciones en esta pieza el 16 de noviembre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de la Ley Orgánica del Tribunal Constitucional (LOTC) y doctrina general sobre la improcedencia de la suspensión del acto impugnado, excepto en situaciones de daños irreparables y siempre que la suspensión no cause las perturbaciones graves que refiere dicho precepto, con cita del ATC 127/2015, de 27 de julio, FJ 1, señala el escrito que la entidad recurrente solicita la suspensión del procedimiento ejecutivo “sin explicitar ninguna razón que permita afirmar que la continuación del procedimiento judicial incluso con desplazamiento posesorio, provoque un perjuicio determinante de la pérdida de la finalidad del recurso de amparo”; por lo que no ha de accederse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continúa diciendo, “para conseguir el efecto protector deseado por la recurrente y enervar los indeseables efectos de la paralización del procedimiento que por su propia naturaleza goza de las características de celeridad y sumariedad, se puede acordar la anotación preventiva de la demanda de amparo en el registro de la propiedad, ya que de esta manera se daría publicidad frente a terceros de la pendencia del recurso, lo que conlleva el conocimiento de los efectos que sobre la titularidad de la finca puede tener el otorgamiento del amparo en su caso, evitando que el hipotético tercero adquirente quede especialmente protegido por su buena fe en la adquisición”. Añade que se trata esta última de una medida que el tribunal puede adoptar ex art. 56.3 LOTC, incluso de oficio, con cita del ATC 2/2019, de 9 de enero, FJ 4, que reproduce. Considera la fiscal que en este caso “la tutela que pudiera otorgarse por este tribunal no sería completa si se deja abierta la posibilidad de que la finca sea transmitida a un tercero de buena fe mientras se sustancia y resuelve el presente proceso de amparo, por lo que se interesa la anotación preventiva de la demanda en el registro de la propiedad, evitando así situaciones cuya reversibilidad seria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361-2018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la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Euroinversiones Inmobiliarias Costa Sur,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361-2018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