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30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7582-2019, promovido por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diciembre de 2019, tuvo entrada en el registro general de este Tribunal Constitucional un escrito de la procuradora doña Blanca Berriatua Horta, en representación de la entidad Penrei Inversiones, S.L., por el que interpuso recurso de amparo contra el auto de 20 de noviembre de 2018, del Juzgado de Primera Instancia e Instrucción núm. 4 de Lorca, que inadmitió el escrito de oposición a la ejecución hipotecaria promovida por Banco de Sabadell, S.A., y contra el auto del mismo juzgado, de 11 de noviembre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20 de noviembre de 2018, el juzgado de primera instancia e instrucción ya indicado dictó un auto en el procedimiento de ejecución hipotecaria núm. 361-2018 por el que acordó: “Inadmitir a trámite la oposición formulada por la parte ejecutada Euroinversiones Inmobiliarias Costa Sur, S.L., y Penrei Inversiones, S.L., […] por estar presentada fuera de plazo”, advirtiendo en pie de recurso, por error, que contra dicha resolución cabía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establece en el artículo 134 de la LEC, la improrrogabilidad de los plazos establecidos en la misma, y en el artículo 136 de la LEC, que transcurrido o pasado el término señalado para la realización de un acto procesal de parte se producirá la preclusión y se perderá la oportunidad de realizar el acto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artículo 695 de la LEC, que la parte ejecutada pueda oponerse al despacho de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lo admitió a trámite, dictando auto el 11 de noviembre de 2019 en sentido desestimatorio, con confirmación de la resolución recurrida, en virtud de los motivos expresados en su fundamento de Derecho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ser desestimado el recurso de reposición interpuesto por ser el auto recurrido conforme a la normativa procesal vigente en materia de oposición a la ejecución (artículos 556.1 LEC y concordantes) y de actos de comunicación. Así, pese a las alegaciones del recurrente que pretende mantener que el escrito de oposición fue presentado en plazo para ello por entender que el auto despachando la ejecución y el requerimiento efectuado deben entenderse notificados en fecha 3 de agosto de 2018, en la que se accedió efectivamente a las citadas resoluciones, lo cierto es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artículos citados como infringidos por la parte recurrente (arts. 135, 152, 162 y 273 y siguientes de la LEC) han sido perfectamente respetados en el presente procedimiento. La propia parte recurrente afirma estar obligada a utilizar los medios electrónicos en sus comunicaciones con el juzgado y afirma que la notificación se remitió a la dirección de correo electrónico ‘habilitada’ del titular a las que se refiere el art. 162 de la LEC, que tiene carácter de norma especial, destinada a regular los actos de comunicación por medios electrónicos o similares. No existiendo discusión ni duda acerca de la aplicabilidad de dicho precepto, al reconocer la propia recurrente la obligatoriedad en el uso de dichos medios en las relaciones con la Administración de Justicia, se llega a la conclusión de que lo dispuesto en el mismo es claro y ha sido respetado. Del propio documento núm. 1 aportado con el escrito interponiendo recurso de reposición y de las propias alegaciones vertidas por la recurrente, resulta la correcta recepción de la notificación en fecha 27/06/2018, fecha en la que se materializó la ‘puesta a disposición’ de la notificación correctamente y del propio documento resulta que pasaron más de tres días desde la misma sin que se hubiera accedido al contenido hasta el día 3 de agosto de 2018, por tanto, en aplicación estricta de lo dispuesto en el apartado segundo del art. 162 de la LEC, sin que se haya justificado por el recurrente una imposibilidad de acceder al sistema en este plazo. Por todo ello debe ser desestimado el recurso interpuesto, al ser el auto recurrido plenamente ajustado a Derecho, al inadmitir un escrito que fue presentado fuera de plazo cuando ya había precluido la posibilidad de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“Contra este auto no cabe recurso alguno, sin perjuicio de reproducir la cuestión objeto de la reposición al recurrir, si fuera posible, la resolución definitiva (artículo 454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20 de noviembre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es importante hacer mención a la “recientísima sentencia del Tribunal Constitucional STC 47/2019, de 8 de abril de 2019, que no solo confirma todo lo dicho hasta ahora en el presente recurso de amparo, sino que lo refuerza, en el sentido de que en modo alguno debe entenderse que, tratándose del emplazamiento, este no se efectúe en el domicilio como impone el artículo 155.1 de la Ley de enjuiciamiento civil”, sin que a ello obste la argumentación dada por el auto que inadmite la oposición; pasando a reproducir pasajes de los fundamentos jurídicos 2 a 5 de dicha STC 47/2019.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 11 de noviembre de 2019 que desestimó la reposición, se rechaza por la recurrente que los preceptos citados por el juzgado fundamenten su decisión, en cuanto “no es menos cierto que, en ningún precepto de la Ley de enjuiciamiento civil se diga que al proceso civil se le aplican las normas del proceso administrativo, ni existe ningún precepto en ninguna otra norma que otorgue a la normativa del proceso administrativo el mismo rango o aplicabilidad que puedan tener la norma procesal civil, la penal, la contencioso-administrativa o la social, que disponen de regulación específica a través de normas concretas, puesto que, mientras la administrativa regula un tipo de procedimiento específico, las otras hacen referencia a procesos que se plantean ante Tribunales de Justicia, que aunque forman parte de la ‘administración’, tienen su normativa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 hacer perder al recurso de amparo su finalidad”, por lo que solicita “la suspensión de la continuación del procedimiento de ejecución hipotecaria 361-2018 seguido ante el Juzgado de Primera Instancia e Instrucción número 4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presidenta de la Sala Segunda de este tribunal dictó acuerdo de conexión el 27 de enero de 2020, del siguiente tenor: “Visto que los recursos de amparo 7578-2019 y 7582-2019, turnados a la Sala Segunda de este tribunal, provienen del mismo proceso, dispongo, en atención a esta conexión objetiva, en ejercicio de las facultades que a esta Presidencia atribuye el acuerdo del Pleno, de 23 de octubre de 2013 sobre normas para la designación de magistrados ponentes, que la ponencia del segundo de dichos recursos corresponda al magistrado ponente del recurso 7578-2019”.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dictó providencia el 4 de noviembre de 2020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 los siguientes motivos: 1.- El recurso plantea un problema o afecta a una faceta de un derecho fundamental sobre el que no hay doctrina de este tribunal [STC 155/2009, FJ 2 a)]. 2.-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habiéndose interesado anteriormente la remisión de copia testimoniada de la ejecución hipotecaria 361-2018, en aplicación de lo dispuesto en el artículo 51 de la Ley Orgánica de este Tribunal, diríjase atenta comunicación al Juzgado de Primera Instancia e Instrucción núm. 4 de Lorca a fin de que, en plazo que no exceda de diez días, se proceda a emplazar a quienes hubieran sido parte en el procedimiento, excepto la parte recurrente en amparo, para que, si lo desean, puedan comparecer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4 de noviembre de 2020,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12 de noviembre de 2020,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 perder al recurso de amparo su finalidad y provocaría perjuicios patrimoniales para mi representada de imposible o difícil reparación”. Invoca a su favor lo resuelto por este Tribunal en sus AATC 21/2018, de 5 de marzo, y 58/2018,  de 4 de junio, reiterando a renglón seguido las vulneraciones constitucionales de fondo que aduce en su demanda, e indicando que de no adoptarse la medida y “seguir adelante la ejecución podría producirse la transmisión irrecuperable del dominio del bien inmueble,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fiscal ante este Tribunal Constitucional formalizó su escrito de alegaciones en esta pieza el 16 de noviembre de 2020,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de la Ley Orgánica del Tribunal Constitucional (LOTC) y doctrina general sobre la improcedencia de la suspensión del acto impugnado, excepto en situaciones de daños irreparables y siempre que la suspensión no cause las perturbaciones graves que refiere dicho precepto, con cita del ATC 127/2015, de 27 de julio, FJ 1, señala el escrito que la entidad recurrente solicita la suspensión del procedimiento ejecutivo “sin explicitar ninguna razón que permita afirmar que la continuación del procedimiento judicial incluso con desplazamiento posesorio, provoque un perjuicio determinante de la pérdida de la finalidad del recurso de amparo”; por lo que no ha de accederse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continúa diciendo, “para conseguir el efecto protector deseado por la recurrente y enervar los indeseables efectos de la paralización del procedimiento que por su propia naturaleza goza de las características de celeridad y sumariedad, se puede acordar la anotación preventiva de la demanda de amparo en el registro de la propiedad, ya que de esta manera se daría publicidad frente a terceros de la pendencia del recurso, lo que conlleva el conocimiento de los efectos que sobre la titularidad de la finca puede tener el otorgamiento del amparo en su caso, evitando que el hipotético tercero adquirente quede especialmente protegido por su buena fe en la adquisición”. Añade que se trata esta última de una medida que el tribunal puede adoptar ex art. 56.3 LOTC, incluso de oficio, con cita del ATC 2/2019, de 9 de enero, FJ 4, que reproduce. Considera la fiscal que en este caso “la tutela que pudiera otorgarse por este tribunal no sería completa si se deja abierta la posibilidad de que la finca sea transmitida a un tercero de buena fe mientras se sustancia y resuelve el presente proceso de amparo, por lo que se interesa la anotación preventiva de la demanda en el registro de la propiedad, evitando así situaciones cuya reversibilidad seria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361-2018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la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donde se plantearon los mismos argumentos que aquí para solicitar la suspensión por la otra entidad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 en relación con el presente recurso de amparo instado por la entidad Penrei Inversiones, S.L.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361-2018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