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6510-2018, promovido por doña Luz Aurora Cuya Ayala,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Luz Aurora Cuya Ayala, representada por la procuradora de los tribunales doña Paloma Izquierdo Labrada, con asistencia letrada de doña Ana María Muñoz del Reino, solicita la suspensión del proceso de ejecución hipotecaria núm. 692-2013 tramitado por el Juzgado de Primera Instancia núm. 6 de Móstoles. Lo hace por otrosí en el escrito de 23 de mayo de 2019 por el que interpone recurso de amparo contra el auto de 28 de noviembre de 2018 recaído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6 de Móstoles se sigue procedimiento de ejecución hipotecaria núm. 692-2013 promovido por la entidad Catalunya Bank, S.A., frente a la demandante de amparo en relación con fincas situadas en las localidades de Humanes y Móstoles.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de 21 de noviembre de 2013, la recurrente en amparo formula oposición a la demanda ejecutiva invocando error en la determinación de la cantidad exigible y la nulidad por abusiva de la cláusula undécima del título ejecutivo, conocida como “pacto de liquidez”. La oposición fue desestimada por auto de 17 de marzo de 2014. Fue igualmente rechazada la solicitud de anulación de otras cláusulas mediante providencias de 9 de abril de 2015, 28 de abril de 2016, 23 de mayo de 2016 y 24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Despachada la ejecución y adjudicadas en pública subasta las indicadas fincas, mediante escrito de 27 de septiembre de 2018, la recurrente solicita la suspensión del procedimiento. Habría de esperarse a que el Tribunal de Justicia de la Unión Europea dicte sentencia en varias cuestiones prejudiciales, entre ellas, la correspondiente al asunto C-70/17 planteada por el Tribunal Supremo en relación con la cláusula de vencimiento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rechaza la suspensión solicitada mediante providencia de 1 de octubre de 2018. Razona que la parte solicitante ya invocó la existencia de cláusulas abusivas formulando la correspondiente oposición, ya resuelta mediante resoluciones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recurso de reposición es desestimado por auto de 28 de noviembre de 2018, que confirma la providencia recurrida y sus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escrito de 23 de mayo de 2019, la recurrente formula demanda de amparo contra la providencia de 1 de octubre de 2018 y el auto del 28 de noviembre del mismo año por entender que han vulnerado su derecho fundamental a la tutela judicial efectiva (art. 24.1 CE), en relación con el principio de primacía del Derecho europeo (art. 91.6 CE), la protección de los consumidores (art. 51 CE) y otros preceptos de la Constitución Española (arts. 9 y 14) y del Convenio europeo de derechos humanos (arts. 6, 13 y 14). Tal derecho fundamental se concretaría, en el caso del presente procedimiento hipotecario, en el derecho a un pronunciamiento expreso sobre las cláusulas de carácter esencial, a tenor del cambio jurisprudencial que las ha declarado abusivas; la sentencia del Tribunal de Justicia de la Unión Europea de 26 de enero de 2017 (asunto C-421/14) habría dejado clara e indubitada la nulidad de la cláusula de vencimiento anticipado. En el presente caso, habría faltado ese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 suspensión hallaría fundamento, de acuerdo con lo afirmado por la recurrente, manifestado por otro sí en la demanda de amparo, en la necesidad de evitar daños y perjuicios de imposible o difícil reparación, así como la pérdida de la finalidad de la presente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19 de octubre de 2020, la Sección Segunda del Tribunal Constitucional admite a trámite la demanda de amparo, ordena la formación de la correspondiente pieza separada de suspensión y concede plazo de tres días al Ministerio Fiscal y al solicitante de amparo para que aleguen lo que estimen pertinente respecto de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27 de octubre de 2020, la demandante se remite a lo manifestado por otrosí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5 de noviembre de 2020, el Ministerio Fiscal considera rechazable la petición de suspensión por no estar mínimamente fundamentada. Ahora bien, considera procedente acordar la anotación de la demanda, por ser una medida más eficaz para conseguir la protección deseada por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692-2013 seguido en Juzgado de Primera Instancia núm. 6 de Móstoles.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suspensión no podrá pues ocasionar perturbación grave alguna sobre un interés constitucionalmente protegido o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formular la solicitud de suspensión del procedimiento de ejecución hipotecaria sin añadir motivo alguno que la sustente.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entiende, por el contrario, que las circunstancias que presenta el supuesto sometido a consideración llevan a estimar la procedencia de acordar, de modo alternativo, la medida cautelar de anotación preventiva de la demanda de amparo en el registro de la propiedad en cuanto la reputa medida idónea para evitar el perjuicio derivado de que la adquisición del bien por tercero lo haga irreivindicable. Esta ha sido la solución acogida recientemente, para otros casos, en los AATC 75/2019 y 76/2019, ambos de 15 de julio,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188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192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692-2013 seguido en Juzgado de Primera Instancia núm. 6 de Móstoles.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