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162</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14 de diciembre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7583-2019, promovido por Penrei Inversiones, S.L., en procedimiento de ejecución hipotecaria,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entidad mercantil Penrei Inversiones, S.L., representada por la procuradora de los tribunales doña Blanca Berriatua Horta, con asistencia letrada de doña Anju Nirmala Rodríguez Benavent, solicita la suspensión del proceso de ejecución hipotecaria núm. 362-2018 tramitado por el Juzgado de Primera Instancia e Instrucción núm. 4 de Lorca. Lo hace por otrosí en el escrito de 29 de diciembre de 2019 por el que interpone recurso de amparo contra los autos de 20 de noviembre de 2018 y 11 de septiembre de 2019 recaídos en aquel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resolver sobre la medida cautelar solicitada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4 de Lorca se sigue procedimiento de ejecución hipotecaria núm. 362-2018 promovido por la entidad Banco de Sabadell, S.A. frente a la sociedad Penrei Inversiones, S.L., en calidad de titular de un derecho de uso respecto del inmueble afectado.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Despachada ejecución por auto de 26 de junio de 2018, el Servicio de Notificaciones de la Fábrica Nacional de Moneda y Timbre remite a la demandante de amparo, a través de la dirección electrónica habilitada un aviso. Informa de que la notificación estará disponible desde el 3 de julio hasta el 18 de agosto. El 3 de agosto la recurrente de amparo accede efectivamente a la página web y a la notificación.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31 de agosto de 2018, la sociedad demandada formula oposición a la ejecución despachada. Por auto de 20 de noviembre del mismo año fue inadmitida por extemporánea.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ejecutada interpone recurso de reposición. Alega que las diligencias de notificación y requerimiento se realizaron el 3 de agosto de 2018. La comunicación remitida a través de la dirección electrónica habilitada no sería más que un aviso de puesta a disposición o descarga de su contenido durante un plazo determinado. Entenderlo de otro modo vulneraría el art. 24 CE, además de los arts. 135, 152, 160, 162 de la Ley 1/2000, de 7 de enero, de enjuiciamiento civil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recurso fue desestimado por auto de 11 de septiembre de 2019. El órgano judicial reafirma que la notificación se practicó el 29 de junio de 2018, fecha en la que se materializó correctamente su puesta a disposición en aplicación estricta del art. 162 LEC. A efectos de computar el plazo para formular oposición a la ejecución hipotecaria no puede tomarse en consideración la fecha en que el acceso se realizó efectivamente; de lo contrario se estaría dejando al arbitrio de las partes obligadas a utilizar el sistema electrónico de notificaciones el cumplimiento de los términos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atribuye a los autos impugnados la vulneración del derecho fundamental de la sociedad recurrente a la tutela judicial efectiva y a un proceso con garantías y sin indefensión (art. 24, apartados 1 y 2 CE). La interpretación de la legislación procesal habría privado injustamente a la recurrente de su derecho a formular oposición a la ejecución hipotecaria, porque —tratándose de un primer emplazamiento— debió realizarse del modo tradicional (art. 273 LEC). El órgano judicial habría incumplido su obligación de asegurar, no ya la legalidad formal de los actos de comunicación, sino el cumplimiento efectivo de su finalidad constitucional. La demanda solicita por otrosí la suspensión del proceso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29 de junio de 2020, la Sección Segunda de este tribunal acuerda inadmitir a trámite el recurso de amparo por carecer de especial trascendencia constitucional. Recurrida en súplica por el Ministerio Fiscal, la sección, mediante ATC 118/2020, de 9 de octubre, la declara nula y acuerda admitir a trámite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diligencia de ordenación de 21 de octubre de 2020, el secretario de justicia acuerda formar la oportuna pieza para la tramitación del incidente de suspensión y, conforme a lo dispuesto en el art. 56 de la Ley Orgánica del Tribunoal Constitucional (LOTC), concede un plazo común de tres días a la parte recurrente y al Ministerio Fiscal para que aleguen lo que estimen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23 de octubre de 2020, la demandante de amparo insiste en que la ejecución se ha despachado con vulneración de su derecho a la tutela judicial efectiva. Añade que la doctrina constitucional ha accedido a suspender ejecuciones hipotecarias en otros casos y que no hacerlo en el presente conduciría a situaciones irreversibles con inevitables perjuicios.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el 5 de noviembre siguiente, el Ministerio Fiscal interesa que se acuerde la anotación preventiva de la demanda en el registro de la propiedad, pese a no haber sido solicitada. Tras exponer la doctrina constitucional sobre suspensión de resoluciones impugnadas, considera que, de no adoptarse la anotación preventiva de la demanda, la tutela que el tribunal pudiera otorgar corre el riesgo de ser incompleta; dejaría abierta la posibilidad de que la finca sea transmitida a un tercero de buena fe mientras se sustancia y resuelve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resolver sobre la procedencia de la medida cautelar instada por la parte recurrente en amparo y dirigida frente al procedimiento de ejecución hipotecaria núm. 362-2018 seguido en el Juzgado de Primera Instancia e Instrucción núm. 4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LOTC,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La suspensión no podrá pues ocasionar perturbación grave alguna sobre un interés constitucionalmente protegido o los derechos fundamentales o libertades de otra persona. Por esta razón se configura como una medida de carácter excepcional y de aplicación restrictiva (por todos, AATC 117/2015, de 6 de julio, FJ 1, y 59/2017, de 24 de abril, FJ 1).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Debe mostrar que la ejecución del acto recurrido puede privar a la demanda de amparo de su finalidad, provocando que el restablecimiento del recurrente en el derecho constitucional vulnerado sea tardío y convirtiendo en meramente ilusorio y nominal el amparo impetrado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de 10 de febrero, FJ 2 ,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expuesta al caso aquí planteado permite concluir, de acuerdo con el Ministerio Fiscal, que resulta improcedente la suspensión solicitada y, por el contrario, medida idónea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En tales circunstancias, no es posible afirmar que la continuación del curso del procedimiento judicial, incluso con un desplazamiento posesorio, provoque por sí sola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entiende, por el contrario, que las circunstancias que presenta el supuesto sometido a consideración llevan a estimar la procedencia de acordar, de modo alternativo, la medida cautelar de anotación preventiva de la demanda de amparo en el registro de la propiedad en cuanto la reputa medida idónea para evitar el perjuicio derivado de que la adquisición del bien por tercero lo haga irreivindicable. Esta ha sido la solución acogida recientemente, para otros casos, en los AATC 75/2019 y 76/2019, ambos de 15 de julio,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De acuerdo con el ATC 95/2015,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362-2018 seguido en el Juzgado de Primera Instancia e Instrucción núm. 4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diciembre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