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501-2020, promovido por don Jesús Manuel Escalonilla Díaz y doña Ana Teresa Torres Liñán,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enero de 2020, la procuradora de los tribunales doña Olga Muñoz González, en nombre y representación de don Jesús Manuel Escalonilla Díaz y de doña Ana Teresa Torres Liñán, y bajo la dirección letrada de don Oscar Bueno Martínez, interpuso recurso de amparo contra la providencia de 12 de diciembre de 2019, dictada por el Juzgado de Primera Instancia núm. 31 de Madrid en el procedimiento de ejecución hipotecaria núm. 24-2016, por la que se inadmite la solicitud de revisión de cláusulas abusivas y el incidente de nulidad promovido contra los autos 181/2016, de 7 de junio, y 339/2019,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31 de Madrid se sigue procedimiento de ejecución hipotecaria núm. 24-2016, promovido por la entidad Banco de Santander, S.A., frente 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providencia de 22 de abril de 2016 se acordó oír a la ejecutante sobre el posible carácter abusivo de la cláusula de interés de demora de la escritura de préstamo con garantía hipotecaria, cláusula que fue declarada abusiva y nula por auto 181/2016, de 7 de junio, en el que no se hizo referencia al resto de cláusulas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1 de septiembre de 2016 se acordó despachar la ejecución contra los ejecutados, y el 5 de octubre de 2018 se emite certificado dando por concluida la subasta con puja a favor del propio acreedor, sin que conste que hasta la fecha se haya emitido decreto de adjudicación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15 de abril de 2019, los demandantes de amparo presentaron incidente de nulidad de actuaciones, solicitando la revisión del posible carácter abusivo de la cláusula de vencimiento anticipado, con base en la jurisprudencia del Tribunal de Justicia de la Unión Europea, concretada en las SSTJUE de 26 de enero de 2017 (C-421/2014) y 26 de marzo de 2019 (C-70/2017 y C-179/2017), y con fundamento, asimismo, en la STC 31/2019, de 28 de febrero. El incidente fue desestimado mediante auto 339/2019, de 26 de septiembre, que denegó la petición de revisión del carácter abusivo de la cláusula de vencimiento anticipado, razonando que a través del auto 181/2016, de 7 de junio, se efectuó revisión de oficio de todas las posibles cláusulas abusivas del préstamo hipotecario en ejecución, produciendo el efecto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presentado el 10 de octubre de 2019, los recurrentes volvieron a solicitar la revisión del posible carácter abusivo de la cláusula de vencimiento anticipado, a la vista de un nuevo elemento de derecho, como era la STS 463/2019, de 11 de septiembre, que establece doctrina jurisprudencial sobre el tratamiento de la cláusula de vencimiento anticipado en los préstamos hipotecarios. Con carácter subsidiario, interponían incidente de nulidad de actuaciones frente al auto 181/2016, al entender que no podía suponer cosa juzgada sobre el posible carácter abusivo de la totalidad de las cláusulas del préstamo hipotecario. La providencia de 12 de diciembre de 2019 rechaza nuevamente la solicitud de revisión de la cláusula de vencimiento anticipado, con remisión al auto 339/2019, de 26 de septiembre, e inadmite el incidente de nulidad respecto del auto 181/2016, por haberse formulado la solicitud fuera del plazo previsto en el art. 228.1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denuncian la vulneración del derecho a la tutela judicial efectiva (art. 24.1 CE), en sus modalidades de acceso a la jurisdicción, del derecho a obtener una resolución sobre el fondo del asunto, del derecho a la motivación de las resoluciones judiciales, y del derecho de acceso a los recursos legales, al negarles el juzgado un pronunciamiento sobre la pretensión relativa al carácter abusivo de la cláusula de vencimiento anticipado con el argumento de que existe cosa juzgada. En relación con el anterior derecho fundamental alegado, se quejan, además, la transgresión del principio de interdicción de la arbitrariedad (art. 9.1 CE), del derecho a la vivienda digna (art. 47 CE), del principio de primacía del derecho comunitario (arts. 10 y 96.1 CE), y de la especial protección de los consumidores y usuarios (art. 51.1 CE, en relación con la Directiva 93/13/CEE).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y en virtud del art. 56.2 de la Ley Orgánica del Tribunal Constitucional (LOTC), solicitan la suspensión de las actuaciones del procedimiento de ejecución hipotecaria núm. 24-2016 del Juzgado de Primera Instancia núm. 31 de Madrid, al amparo del derecho a una vivienda digna del art. 47 CE, ante la posibilidad de que se produzca la adjudicación del inmueble y la posterior pérdida de su posesión, lo que podría generar un daño irreparable a los demandantes de amparo, sin que la medida de suspensión produzca una perturbación grave para interés alguno constitucionalmente protegido, ni perjuicio grave para derechos de terceros, de acuerdo con la jurisprudencia constitucional (ATC 56/2013).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2020, la Sala Primera de este Tribunal acordó admitir a trámite el recurso de amparo y dirigir atenta comunicación al Juzgado de Primera Instancia núm. 31 de Madrid, a fin de que, en plazo que no excediera de diez días, remitiera certificación o fotocopia adverada de las actuaciones correspondientes al procedimiento de ejecución hipotecaria núm. 24-2016, previo emplazamiento de quienes hubieran sido parte en el proceso del que trae causa el presente recurso de amparo, excepto la parte recurrente en amparo, para que pudieran comparecer en el mismo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con el testimonio del recurso de amparo la pieza separada de suspensión y, conforme a lo dispuesto en el art. 56 LOTC, concedió un plazo común de tres días a la parte solicitante de amparo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registrado el 26 de octubre de 2020, la parte recurrente presentó sus alegaciones, ampliando las expuestas en la demanda de amparo respecto de la solicitud de suspensión. Afirman que se dan los presupuestos básicos para adoptar la suspensión, ya que la continuación de la ejecución hipotecaria, con una posible adjudicación y lanzamiento de la vivienda, podría producir un perjuicio irreparable que haría perder al amparo su finalidad, y, además, como lo que se solicita es que el juzgado lleve a cabo el control de abusividad de una cláusula contractual, ese motivo de oposición debería dar lugar a la suspensión de la ejecución, de acuerdo con el art. 695.2 LEC. Finalmente, invocan el ATC 56/2013, de 25 de febrero, con reproducción de su fundamentación jurídica, señalando que resulta de aplicación al caso que nos ocupa, en el que se pretende obtener el amparo constitucional para que se realice el control de una cláusula presuntamente abusiva, lo que podría dar lugar al archivo del procedimiento y al restablecimiento de la relación jurídica de propiedad y posesión existente en el momento de interposición de la demanda de acogerse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presentado el 5 de noviembre de 2020, formuló alegaciones interesando la suspensión cautelar del lanzamiento de la finca adjudicada en el procedimiento de ejecución hipotecaria y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en la materia, destaca el fiscal, en cuanto a la primera medida, que la petición de suspensión del procedimiento ejecutivo no parece afectar a toda su tramitación, sino solo a la suspensión de la medida de lanzamiento del domicilio familiar, lo que conllevaría un perjuicio irreparable para el caso de que, posteriormente, se otorgara el amparo. Al tratarse de la vivienda familiar se vería afectado un bien de indudable valor constitucional como es el derecho a una vivienda digna. Respecto de la anotación preventiva de la demanda de amparo, califica esta medida como “[m]ucho más eficaz para conseguir el efecto protector deseado por la recurrente”, dado que con ella se daría publicidad de la pendencia del recurso frente a eventuales terceros adquirentes de buena fe. Y aunque esta medida cautelar no sido solicitada por los recurrentes, el Tribunal Constitucional puede adoptarla en virtud de lo previsto en el art. 56.3 LOTC, incluso de oficio, como lo ha reconocido en el ATC 95/2015, de 25 de mayo, de acuerdo con cuya doctrina sería procedente, además de la suspensión del lanzamiento, la anotación preventiva de la demanda,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medidas provisionales de suspensión del procedimiento de ejecución hipotecaria núm. 24-2016 cuestionado y de anotación preventiva de la demanda de amparo en el registro de la propiedad, interesadas la primera por los demandantes de amparo y el Ministerio Fiscal, y la segunda exclusivamente por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Consideran los demandantes de amparo que la continuación del procedimiento de ejecución hipotecaria, con una posible adjudicación y el consiguiente lanzamiento de la vivienda, podría producir un perjuicio irreparable que haría perder al amparo su finalidad de ejecutarse dicho lanzamiento. El fiscal está de acuerdo con ello, señalando que sólo se suspendería el lanzamiento de la vivienda, medida que habría de completarse con la anotación preventiva de la demanda de amparo al objeto de evitar actos de disposición de la vivienda afectada en favor de terceros de carácter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este tribunal ha entendido por perjuicio irreparable aquel que provoque que el restablecimiento del recurrente en el derecho constitucional vulnerado sea tardío y convierta el amparo en meramente ilusorio y nominal [por todos, AATC 274/2008, de 15 de septiembre; 26/2009, de 26 de enero; 173/2009, de 1 de junio; 190/2015, de 5 de noviembre, FJ 2 a); 59/2017, de 24 de abril, FJ 1, y 147/2017, de 13 de noviembre,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AATC 44/2008, de 11 de febrero, FJ 1; 59/2008, de 20 de febrero, FJ 1; 67/2008, de 25 de febrero, FJ 1; 109/2008, de 14 de abril, FJ 1; 111/2008, de 14 de abril, FJ 1; 118/2008, de 28 de abril, FJ 1, y 172/2008, de 23 de junio, FJ 1).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hemos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solo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no resulta procedente la suspensión solicitada de un eventual e hipotético lanzamiento. Los demandantes de amparo se limitan a poner de manifiesto que, si no se acuerda la suspensión, podría producirse un perjuicio irreparable y que la eventual estimación del recurso de amparo sería tardía “en el caso de producirse la adjudicación y el lanzamiento de la vivienda”. Es decir, la petición de suspensión se apoya en la posibilidad de que en el futuro se produzca un hipotético lanzamiento, que en este momento no es un riesgo cierto, habida cuenta de que ni siquiera se ha producido la adjudicación de la vivienda a favor del acreedor. Por tanto, no se puede apreciar en la actualidad la existencia de un perjuicio real e inmediato, sin que sea posible justificar la adopción de la medida cautelar en la simple inquietud de que el lanzamiento pudiera llegar a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ello no impide que, en el supuesto de que el órgano judicial acordara de manera efectiva el lanzamiento de los actores de la vivienda, éstos puedan acudir de nuevo ante este tribunal solicitando la modificación de nuestra decisión al amparo de lo previsto en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el tribunal entiende, de acuerdo con el fiscal,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ha sido la misma solución adoptada por este tribunal, entre otros, en los AATC 88/2018, de 17 de septiembre; 2/2019, de 9 de enero, y 98/2019, de 16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24-2016, seguido en el Juzgado de Primera Instancia núm. 31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