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6091-2019, promovido por Penrei Inversiones, S.L., representada por la procuradora de los tribunales doña Blanca Berriatua Horta y bajo la dirección de la letrada doña Anju Nirmala Benavent Rodriguez, contra los autos de 10 de septiembre de 2018 y de 21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octubre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6091-2019, cuyo conocimiento correspondió a la Sección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1 de octubre, del procedimiento administrativo común de las administraciones públicas (LPACAP)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 Dicha providencia se dejó sin efecto en virtud del auto de 18 de septiembre de 2020 que estimó el recurso de súplica interpuesto contra la misma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LOTC, se acordó dirigir comunicación al Juzgado de Primera Instancia e Instrucción núm. 5 de Lorca, a fin de que, en el plazo de diez días, remitiera certificación o fotocopia adverada de las actuaciones correspondientes a los autos de ejecución hipotecaria núm. 385-2018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17 de noviembre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noviembre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28 de diciembre de 2020, en las que se remite a lo expuesto en su recurso y hace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mediante escrito registrado el 4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21 de enero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10 de septiembre de 2018 y de 21 de septiembre de 2019, dictados por el Juzgado de Primera Instancia e Instrucción núm. 5 de Lorca, en el procedimiento de ejecución hipotecaria núm. 385-2018.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septiembre de 2019,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10 de septiembre de 2018 y de 21 de septiembre de 2019, dictados por 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10 de septiembre de 2018 y de 21 de septiembre de 2019, dictados por el Juzgado de Primera Instancia e Instrucción núm. 5 de Lorca, en el proceso de ejecución hipotecaria núm. 385-2018,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