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4217-2019, promovido por don Alfonso Mesa Puga, doña Juana Francisca López del Águila y don Juan Mesa López, contra la providencia del Juzgado de Primera Instancia núm. 2 de Almería de 17 de mayo de 2019, por la que se inadmite el incidente de nulidad de actuaciones interpuesto contra la providencia de 12 de abril de 2019, pronunciada en el procedimiento de ejecución hipotecaria núm. 610-2014.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Alfonso Mesa Puga, doña Juana Francisca López de Águila y don Juan Mesa López, representados por el procurador de los tribunales don Pedro Emilio Serradilla Serrano y bajo la dirección del letrado don Iván García Navarro, interpusieron recurso de amparo contra las resoluciones judiciales que se mencionan en el encabezamiento de esta sentencia mediante escrito registrado en este tribunal el 5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en amparo fueron demandados el 24 de marzo de 2014 por impago de una deuda hipotecaria, dando lugar al procedimiento de ejecución hipotecaria núm. 610-2014, que se tramitó en el Juzgado de Primera Instancia 2 de Almería, dictándose el auto despachando la ejecución el 19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en amparo, don Alfonso Mesa Puga y don Juan Mesa López, mediante escrito de 15 de julio de 2016, solicitaron la nulidad de las cláusulas de intereses de mora y de vencimiento anticipado. La petición fue desestimada por providencia de 19 de septiembre de 2016 por no tratarse de la vivienda habitual de los solicitantes. El bien hipotecado fue subastado y adjudicado a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mediante escrito de 25 de marzo de 2019, solicitaron la nulidad de actuaciones alegando la vulneración del derecho a la tutela judicial efectiva (art. 24.1 CE) y de la normativa comunitaria, con base en el Directiva 91/13/CEE, por no haberse hecho aplicación de la jurisprudencia sobre la revisión de oficio de cláusulas abusivas en cualquier fase del procedimiento. Igualmente alegaron la falta de legitimación activa de la entidad ejecutante tras haberse producido una transmisión del crédito a un fondo de titulación de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fue inadmitido por providencia de 12 de abril de 2019 argumentando que los recurrentes llevaban personados desde el 2016 en el procedimiento y solicitan el control de abusividad una vez que ya se han dictado numerosas resoluciones que no han sido impugnadas, incluyendo la providencia de 19 de septiembre de 2016, concluyendo que había precluido el plazo previsto en el art. 228 de la Ley de enjuiciamiento civil (LEC) y que la nulidad debió hacerse valer a través del sistema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mediante escrito de 26 de abril de 2019, solicitaron la nulidad de actuaciones de la providencia de 12 de abril de 2019 alegando la vulneración del derecho a la tutela judicial efectiva (art. 24.1 CE) por falta de motivación, en relación con la potestad de revisión de oficio de las cláusulas abusivas, y por incongruencia omisiva, al no haberse dado respuesta a la cuestión de la falta de legitimación activa de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fue inadmitido por providencia de 17 de mayo de 2019 argumentando que la providencia de 12 de abril de 2019 no es recurrible y que no cabe reiterar un incidente basado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solicitan que se otorgue el amparo por vulneración del derecho a la tutela judicial efectiva (art. 24.1 CE), declarándose la nulidad de la resolución impugnada con retroacción de actuaciones para que se verifique un control judicial de oficio de la eventual abusividad de las cláusulas del contrato de préstamo que dio lugar al procedimiento de ejecución, con fundamento en que la decisión judicial de negarse a realizar dicho control por preclusión del plazo es contraria a la jurisprudencia del Tribunal de Justicia de la Unión Europea en materia de cláusulas abusivas, que obliga a los tribunales a examinar de oficio y en cualquier momento del proceso la abusividad de las cláusulas del contrato. Igualmente, se invoca el art. 24.1 CE al considerar que habiéndose formulado una concreta solicitud de que se declarara la falta de legitimación activa de la ejecutante, ninguna mención o referencia se hace a ello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sendas providencias de 12 de junio de 2020, acordó la admisión a trámite del presente recurso, apreciando que concurre en el mismo una especial trascendencia constitucional [art. 50.1 de la Ley Orgánica del Tribunal Constitucional (LOTC)] porque el asunto suscitado transciende el caso concreto porque plantea una cuestión jurídica de relevante y general repercusión social o económica [STC 155/2009, de 25 de junio, FJ 2 g)]; dirigir atenta comunicación al órgano judicial para que remita certificación o fotocopia adverada de las actuaciones y emplazamiento para que puedan comparecen en los recursos de amparo quienes hubieran sido parte en el procedimiento; y la formación de pieza separada para la tramitación del incidente sobre la suspensión solicitada, que fue denegada por ATC 79/2020,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 de octubre de 2020,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23 de noviembre de 2020, interesa que se estime el recurso por vulneración del derecho a la tutela judicial efectiva (art. 24.1 CE) anulándose todo lo actuado desde la providencia de 12 de abril de 2019 con retroacción de actuaciones. Expone, en relación con la negativa judicial a analizar el carácter abusivo de determinado clausulado por considerar que era una petición extemporánea, que el juzgado no ha atendido con dicha argumentación a la doctrina de la STJUE de 26 de enero de 2017 sobre el control de la abusividad en este tipo de supuestos. Por su parte, en relación con la ausencia de respuesta sobre la eventual falta de legitimación activa de la entidad ejecutante, el fiscal afirma, con cita de la STC 152/2015, de 6 de julio, que también se ha producido una vulneración del art. 24.1 CE en este caso por incongruencia omisiva al no haberse dado ningún tipo de respuesta a una pretensión deducida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presentaron sus alegaciones mediante escrito registrado el 13 de octubre de 2020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2021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objeto de este recurso es determinar si las resoluciones judiciales impugnadas han vulnerado el derecho a la tutela judicial efectiva de los recurrentes (art. 24.1 CE) por (i) rechazar la petición, amparada en la aplicación de la normativa europea y en la jurisprudencia que la interpreta, de analizar la abusividad de determinadas cláusulas del contrato de préstamo, cuya ejecución se instaba, con el argumento de la extemporaneidad de la solicitud; y (ii) la ausencia de respuesta judicial en relación con la alegada falta de legitimación activa de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control judicial sobre las cláusulas abusivas en los procedimientos ejecutivos. La cuestión planteada por los recurrentes en relación con la negativa judicial a analizar la abusividad de determinadas cláusulas del contrato de préstamo hipotecario, cuya ejecución se instaba, con el argumento de la extemporaneidad de la solicitud es, en lo fundamental, la misma que fue resuelta por este tribunal en la STC 31/2019, de 28 de febrero, y en una serie de resoluciones dictadas en su aplicación (por ejemplo, SSTC 30/2020, de 24 de febrero; 48/2020, de 15 de junio, o 140/2020, de 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caso también se había solicitado el control del carácter abusivo de un préstamo al amparo del Derecho de la Unión Europea (Directiva 93/13/CEE, del Consejo, de 5 de abril, sobre cláusulas abusivas en los contratos celebrados con consumidores y STJUE de 26 de enero de 2017, C-421/14, asunto Banco Primus, S. A., c. Jesús Gutiérrez García), que había sido rechazado porque el recurrente no se opuso en el plazo establecido a la ejecución alegando la abusividad y porque la ejecución se despachó cumpliendo todos los requisitos procesales. La citada STC 31/2019, declaró que, de acuerdo con la Directiva 93/13/CEE, conforme a la interpretación realizada por parte del Tribunal de Justicia de la Unión Europea (sentencia de 26 de enero de 2017),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LEC (FJ 6); y (ii) que “no consta en ningún apartado del auto despachando la ejecución que se haya producido un examen del clausulado contractual” y que no puede entenderse realizado y justificado con la simple afirmación de que la demanda ejecutiva “cumple los requisitos establecidos en el artículo 685 LEC” (FJ 8). Por ello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tomando en consideración que también la respuesta judicial para denegar hacer un control de la abusividad del clausulado del contrato cuya ejecución había dado lugar al procedimiento de ejecución hipotecaria fue el carácter extemporáneo de la solicitud, debe concluirse, por las mismas razones expuestas en la STC 31/2019, que se ha vulnerado el derecho a la tutela judicial (art. 24.1 CE). En este supuesto, al igual que en el enjuiciado por la STC 31/2019, el órgano judicial efectuó una interpretación irrazonable y arbitraria de la norma aplicada en el proceso porque prescindió de la interpretación del Derecho europeo efectuada por Tribunal de Justicia de la Unión Europea, que es el único órgano competente para llevar a cabo aquella interpretación con carácter vinculante. Su decisión es también lesiva del derecho que consagra el art. 24.1 CE por "su inmotivada contestación acerca de la existencia de un control de la cláusula previo a la denuncia” (fundamentos jurídicos 6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incongruencia omisiva en relación con la alegación de la falta de legitimación activa. Este tribunal ha reiterado que la incongruencia omisiva, como uno de los defectos de motivación con relevancia constitucional prohibidos por el derecho a la tutela judicial efectiva (art. 24.1 CE),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que no es necesaria para la satisfacción del derecho a la tutela judicial efectiva una contestación explícita y pormenorizada a todas y cada una de las alegaciones que se aducen por las partes como fundamento de su pretensión; y que basta, en atención a las circunstancias particulares concurrentes, con una respuesta global o genérica, aunque se omita respecto de alegaciones concretas no sustanciales. A tales efectos, es necesario distinguir entre las meras alegaciones o argumentaciones aportadas por las partes en defensa de sus pretensiones y estas últimas en sí mismas, pues, si con respecto a las primeras puede no ser necesaria una respuesta explícita y pormenorizada de todas ellas y la eventual lesión del derecho fundamental deberá abordarse desde el prisma del derecho a la motivación de toda resolución judicial, respecto de las segundas la exigencia de respuesta congruente se muestra con todo rigor siempre y cuando la pretensión omitida haya sido llevada al juicio en el momento procesal oportuno (STC 165/2020, de 16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han quedado acreditados los siguientes extremos: (i) los recurrentes instaron en su incidente de nulidad, junto con solicitud del control de abusividad del clausulado del contrato hipotecario, la alegación de la falta de legitimación activa de la entidad ejecutante; (ii) el órgano judicial, mediante la providencia de 12 de abril de 2019, inadmitió este incidente haciendo solo referencia expresa a la circunstancia de que se había instado el control de abusividad de clausulado de manera extemporánea por los recurrentes, que estaban personados desde el año 2016 en el procedimiento y a los que se les habían notificado todas las resoluciones dictadas; (iii) los recurrentes denunciaron en el segundo incidente promovido contra la citada providencia el hecho de que se hubiera omitido cualquier tipo de consideración sobre la legitimación activa; y (iv) el órgano judicial inadmitió este segundo incidente argumentando únicamente que la providencia era irrecurrible y que se replanteaban las cuestiones ya resueltas por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 conformidad con el informe de la Fiscalía, el tribunal concluye que se ha producido la incongruencia omisiva denunciada por los demandantes y, por tanto, de su derecho a la tutela judicial efectiva (art. 24.1 CE), ya que (i) la alegación de los demandantes sobre la eventual falta de legitimación activa de la entidad ejecutante es una pretensión diferente de la relativa al carácter abusivo de determinadas cláusulas del contrato hipotecario; (ii) esta pretensión fue deducida por los demandantes de manera expresa y separada en sendos incidentes de ejecución; y (iii) el órgano judicial omitió cualquier consideración sobre esta petición, pues en la providencia de 12 de abril de 2019 solo se consideraba el argumento de la extemporaneidad de la pretensión en relación con la cuestión relativa al carácter abusivo de determinadas cláusulas contractuales. Esto determina que también haya que estimar vulnerado el art. 24.1 CE en relación con esta cuestión y proceda declarar la nulidad de las resoluciones impugnadas también por este motivo. Por ello debe también ordenarse la retroacción de actuaciones con el objeto de que se dicte una nueva resolución judicial que repare igualmente esta incongruencia omisiva.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Alfonso Mesa Puga, doña Juana Francisca López del Águila y don Juan Mesa López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las providencias del Juzgado de Primera Instancia núm. 2 de Almería de 12 de abril y de 17 de mayo de 2019, pronunciadas en el procedimiento de ejecución hipotecaria núm. 610-2014.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retroacción de las actuaciones al momento inmediatamente anterior al pronunciamiento de la primera de las resoluciones anuladas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4217-2019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4217-2019,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