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6079-2019, promovido por Euroinversiones Inmobiliarias Costa Sur, S.L., contra el auto del Juzgado de Primera Instancia e Instrucción núm. 5 de Lorca, de 21 de septiembre de 2018, que inadmitió la demanda de oposición a la ejecución formulada por dicha mercantil, en el procedimiento de ejecución hipotecaria núm. 284-2018 instado por la entidad Banco de Sabadell, S.A., y contra el auto del mismo juzgado, de 10 de septiembre de 2019, que desestimó el recurso de reposición interpuesto contra la anterior resolución. Ha intervenido el Ministerio Fiscal. Se ha personado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octubre de 2019, la procuradora de los tribunales doña Blanca Berriatua Horta, actuando en nombre y representación de Euroinversiones Inmobiliarias Costa Sur, S.L., bajo la defensa del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43.403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5 de Lorca, al que correspondió el conocimiento del proceso, dictó auto el 7 de mayo de 2018 por el que acordó el despacho de ejecución (procedimiento de ejecución hipotecaria núm. 284-2018),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9 de mayo de 2018, el servicio de notificaciones electrónicas de la Fábrica Nacional de Moneda y Timbre remitió un correo al buzón de la dirección electrónica habilitada de la entidad aquí recurrente en amparo, avisándole de una notificación del Juzgado de Primera Instancia núm. 5 de Lorca relativa al proceso “EJH/0000284/2018”, notificación a la que podía acceder entre los días 9 de mayo a 24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que conste que se hubiere accedido al enlace habilitado en el anterior mensaje, el día 23 de junio de 2018 el servicio de notificaciones electrónicas mencionado remitió un nuevo correo al buzón de la dirección electrónica habilitada de la recurrente en amparo, recordándole el anterior aviso y la posibilidad de acceder a la notificación en el enlace indicado, hasta las 23:59 horas del día siguiente, 24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24 de junio de 2018, por personal de la recurrente se accedió al enlace remitido por la dirección electrónica habilitada y, con ello, a la notificación enviada por el juzgado de primera instancia ejecutor en relación con el procedimiento hipotecario núm. 284-2018. También en esa fecha, la Fábrica Nacional de Moneda y Timbre emitió un certificado electrónico que obra en las actuaciones del proceso (al igual que los anteriores correos), dejando constancia de que la notificación había sido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9 de julio de 2018, el representante procesal de la demandante de amparo formalizó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5 de Lorca dictó auto el 21 de septiembre de 2018,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Penrei Inversiones, S.L., Euroinversiones Inmobiliarias Costa Sur, S.L., representada por el procurador don Antonio Serrano Caro por estar presentada fuera de plazo, contra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el representante procesal de la demandante de amparo se interpuso recurso de reposición contra el anterior auto. En el recurso defendió que la notificación y requerimiento de pago tuvo lugar cuando accedió al contenido de la notificación electrónica remitida y no antes, siendo desde entonces que cabía computar el plazo de diez días del art. 556 de la Ley de enjuiciamiento civil (LEC). Con invocación también de los arts. 135, 152.1.2, párrafo tercero, 155.2,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ejecutor dictó auto el 10 de septiembre de 2019 en desestimación del recurso de reposición, con los argumentos que expuso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(sic), las mismas desde el 1 de enero de 2017 (disposición transitoria cuarta de la Ley 42/2015, de 5 de octubre, de reforma de la Ley de enjuiciamiento civil) están obligadas a relacionarse con la administración de justicia por medios electrónicos [art. 14.2 a) de la Ley 39/2015 LPACAP y art. 273.3 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 las recurrentes de forma errónea la normativa aplicable. Así el artículo 162.2 LEC en cualquiera de los supuestos a los que se refiere este artículo, cuando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exceptuarán aquellos supuestos en los que el destinatario justifique la falta de acceso al sistema de notificaciones durante ese periodo. Si la falta de acceso se debiera a causas técnicas y estas persistiesen en el momento de ponerlas en conocimiento, el acto de comunicación se practicará mediante entrega de copia de la resolución. En cualquier caso, la notificación se entenderá válidamente recibida en el momento en que conste la posibilidad de acceso al sistema. No obstante, caso de producirse el acceso transcurrido dicho plazo pero antes de efectuada la comunicación mediante entrega, se entenderá válidamente realizada la comunicación en la fecha que conste en el resguardo acreditativo de su recepción.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artículos 33.2 y 34 de la Ley 18/2011, de 5 de julio, reguladora del uso de las tecnologías de la información y la comunicación en la administración de justicia establecen que las comunicaciones a través de medios electrónicos se realizarán, en todo caso, con sujeción a lo dispuesto en la legislación procesal y serán válidas siempre que exista constancia de la transmisión y recepción, de sus fechas y del contenido íntegro de las comunicaciones, y se identifique con la autenticación que sea exigible al remitente y al destinatario de las mismas; el sistema de notificación permitirá acreditar la fecha y hora en que se produzca la salida y las de la puesta a disposición del interesado del acto objeto de notificación, así como de acceso a su contenido. En caso de que el acto de comunicación no pueda llevarse a cabo por medios electrónicos, se procederá a imprimir la resolución y la documentación necesaria, procediéndose a la práctica del acto de comunicación en la forma establecida en las leyes procesales e incorporándose a continuación el documento acreditativo de la práctica del acto de comunicación, debidamente digitalizado, al expediente judicial electrónico. En todo caso, el destinatario del acto de comunicación tendrá derecho a obtener copia de la documentación recibida en formato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11.2 del Real Decreto 1065/2015 de 27 de noviembre, sobre comunicaciones electrónicas en la administración de justicia en el ámbito territorial del Ministerio de Justicia y por el que se regula el sistema Lexnet determina que será de aplicación a los actos de comunicación realizados a través de la sede judicial electrónica lo dispuesto en el artículo 162.2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resulta clarificador el	acuerdo no jurisdiccional del Pleno de la Sala Cuarta del Tribunal Supremo de 6 de julio de 2016 (La Ley 72866/2016): ‘Cuando haya constancia de la correcta remisión del acto de comunicación y transcurran tres días hábiles sin que el destinatario acceda a su contenido, se entenderá que la comunicación ha sido efectuada con plenos efectos procesales. Por tanto, constando correcta la remisión de la comunicación tal y como se constata por el letrado de la administración de justicia, el hecho de que el destinatario no hubiera accedido al contenido sino hasta el 9 de diciembre de 2017 no es determinante de nulidad de actos por cuanto la comunicación se entiende efectuada con plenos efectos procesales. Por todo ello se desestima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09 de mayo de 2018 no accediendo al contenido hasta el día 24 de junio de 2018 (fuera de los tres días que establece la normativa procesal), presentando los escritos de oposición a la ejecución en fecha 09 de julio de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indicaba que dicha resolución “es firme, y contra la misma no cabe recurso alguno”. Tanto este auto como el anterior de 21 de septiembre de 2018, fueron notificados por el juzgado al procurador de la demandante de amparo a través del sistema Lexnet, tal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10 de septiembre de 2019,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el proceso,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10 de septiembre de 2019 que desestimó el recurso de reposición promovido contra la anterior resolución —y del que se han expuesto sus argumentos—, se rechaza por la recurrente que el juzgado haya fundamentado su segunda decisión en la Ley de procedimiento administrativo común, que considera inaplicable al ámbito procesal civil. Precisa que, en materia de notificación de actos procesales existe una normativa propia detallada en la Ley de enjuiciamiento civil según ha expuesto, ensamblada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284-2018 seguido ante el Juzgado de Primera Instancia e Instrucción núm. 5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27 de enero de 2020 por la que acordó: (i) admitir a trámite el recurso, “apreciando que concurre en el mismo una especial trascendencia constitucional (art. 50.1 LOTC) toda vez que el recurso puede dar ocasión al tribunal para aclarar o cambiar su doctrina, como consecuencia de cambios normativos relevantes para la configuración del contenido del derecho fundamental [STC 155/2009, FJ 2, b)]”; (ii) constatar la existencia en el tribunal del testimonio de las actuaciones de la ejecución hipotecaria 284-2018 por haber sido remitidas por el órgano ejecutor a requerimiento de la secretaría de justicia de este tribunal y emplazar a quienes hubieran sido parte en el proceso de ejecución, excepto a la recurrente en amparo, para poder comparecer en el presente proceso constitucional en del plazo de diez días, a efecto de formular alegaciones;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26 de febrero de 2020, la procuradora de los tribunales doña María Claudia Munteanu, con la asistencia letrada de don Alejandro Ingram Solís, actuando en nombre y representación de la entidad Pera Assets Designated Activity Company, solicitó se tuviera a esta última como personada y parte recurrida en lugar de la ejecutante Banco de Sabadell, S.A., entendiéndose con dicha procuradora las actuaciones sucesivas de este proceso. Justificaba su petición en la escritura de cesión onerosa de créditos hipotecarios suscrita con Banco de Sabadell, S.A., como cedente, otorgada el 23 de julio de 2019, y en su efectiva personación en el proceso de ejecución donde fue acordado su emplazamiento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Sección Cuarta de 1 de octubre de 2020 se acordó: (i) tener por personada y parte a la procuradora señora Munteanu en nombre y representación de la sociedad indicada y (ii) dar vista de las actuaciones recibidas a las partes personadas y al Ministerio Fiscal por plazo común de veinte días para presentar alegaciones de conformidad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representante procesal de la entidad recurrente presentó su escrito de alegaciones el 3 de noviembre de 2020, por el que interesó se dictara resolución estimatoria del recurso de amparo, haciendo mención a la STC 40/2020, del Pleno del Tribunal Constitucional, que resuelve el recurso de amparo 5377-2018 interpuesto por la misma recurrente “en un asunto prácticamente igual al del presente recurso de amparo” que refuerza las exigencias para llevar a efecto el primer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este Tribunal Constitucional presentó escrito de alegaciones el 16 de noviembre de 2020,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5 de Lorca, en el juicio de ejecución hipotecaria 284-2018”, y retroacción de las actuaciones al momento inmediato anterior a aquella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 el recurso “como uno de los que componen la serie de los interpuestos por Euroinversiones Inmobiliarias Costa Sur, S.L., y Penrei Inversiones, S.L., frente a diversos autos dictados en procedimientos hipotecarios tramitados por diferentes juzgados de primera instancia de Lorca, por idénticas vulneraciones” y recuerda, con cita de la STC 40/2020, del Pleno, de 27 de febrero, y de la STC 43/2020, de 9 de marzo, que algunos ya han sido resueltos por lo que, al concurrir identidad fáctica y jurídica, procedería aplicar la doctrina sentada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consta presentado dentro del plazo del art. 52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solicitud de suspensión formulada por la recurrente en amparo mediante otrosí de su escrito de demanda, por auto de la Sala Segunda de este tribunal núm. 30/2020, de 24 de febrero,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secretaría de justicia se ha dictado diligencia el 18 de noviembre de 2020, dejando constancia de la presentación de los escritos de alegaciones del Ministerio Fiscal, del representante procesal de la recurrente en amparo y de su falta de presentación por la entidad recurrida,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aquéllas,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Euroinversiones Inmobiliarias Costa Sur, S.L., impugna los autos del Juzgado de Primera Instancia núm. 5 de Lorca, de 21 de septiembre de 2018 y 10 de septiembre de 2019, recaídos en el proceso hipotecario núm. 284-2018.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Ley de enjuiciamiento civil.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recurrida no ha efectuado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como afirma en trámite de alegaciones la recurrente en amparo y subraya el Ministerio Fiscal,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dictada en sede de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vulneración de su derecho fundamental a la tutela judicial efectiva sin padecer indefensión (art.24.1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21 de septiembre de 2018 y 10 de septiembre de 2019, dictados por el Juzgado de Primera Instancia e Instrucción núm. 5 de Lorca en el proceso de ejecución hipotecaria núm. 284-2018,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