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30</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15 de febrero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7501-2019, promovido por Penrei Inversiones, S.L., representada por la procuradora de los tribunales doña Blanca Berriatua Horta y bajo la dirección de la letrada doña Anju Nirmala Benavent Rodriguez, contra los autos de 27 de noviembre de 2018 y de 30 de octubre de 2019, dictados por el Juzgado de Primera Instancia e Instrucción núm. 4 de Lorca, en el procedimiento de ejecución hipotecaria núm. 372-2018, por los que, respectivamente, se inadmite por extemporánea la demanda de oposición formulada y se confirma esta última decisión, tras desestimarse el recurso de reposición interpuesto frente a ella. Ha intervenido el Ministerio Fiscal. Ha comparecido la entidad Pera Assets Designated Activity Company, actuando como sucesora procesal del banco ejecutante. Ha sido ponente el magistrado don Santiago Martínez-Vares García.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26 de diciembre de 2019, la entidad Penrei Inversiones, S.L., representada por la procuradora de los tribunales doña Blanca Berriatua Horta y bajo la dirección de la letrada doña Anju Nirmala Benavent Rodríguez, interpuso recurso de amparo contra las resoluciones referidas en el encabezamiento. La presentación de dicho escrito dio lugar al recurso de amparo núm. 7501-2019, cuyo conocimiento correspondió a la Sección Segunda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relevantes para resolver la pretensión planteada, según se recogen en la demanda y en la documentación aportada,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Juzgado de Primera Instancia e Instrucción núm. 4 de Lorca se sigue procedimiento de ejecución hipotecaria núm. 372-2018 promovido por la entidad Banco de Sabadell, S.A., frente a las sociedades Euroinversiones Inmobiliarias Costa Sur, S.L., en calidad de prestataria e hipotecante, y Penrei Inversiones, S.L., en calidad de titular registral de un derecho de uso y disfrute sobre el inmueble hipotecado, la finca registral 43.317 del registro de la propiedad núm. 3 de Lorca.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auto de 27 de junio de 2018 se acordó despachar ejecución frente a las sociedades demandadas por la cantidad de 8877,50 € de principal y 4510 € como intereses y costas presupuestados. El servicio de notificaciones de la Fábrica Nacional de Moneda y Timbre remitió a la demandante de amparo, a través de la dirección electrónica habilitada, un aviso de notificación del citado auto que le fue comunicado por dicho medio el 29 de junio de 2018. En dicha comunicación se informa que la notificación estará disponible hasta el 31 de agosto del mismo año, accediendo la recurrente de amparo efectivamente a la página web y a la notificación dentro del plazo en que la misma se encontraba disponible.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representación legal de Penrei Inversiones, S.L., presentó escrito de oposición a la ejecución despachada con fecha 31 de agosto de 2018. Por auto de 27 de noviembre de 2018 se acordó su inadmisión por considerar la pretensión extemporánea, tomando como fecha de notificación el 29 de junio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sociedad mercantil recurrente interpuso recurso de reposición contra el auto de inadmisión alegando, en síntesis, que las actuaciones de notificación y requerimiento no habían sido realizadas el día 29 de junio de 2018, sino en la fecha en que accedió a la web y procedió a su descarga, y que la comunicación remitida a través de la dirección electrónica habilitada no puede entenderse más que un aviso de puesta a disposición o descarga de su contenido durante un plazo determinado (en el caso desde el 29 de junio hasta el 31 de agosto de 2018), pues entenderlo de otro modo, además de infringir los arts. 135, 152, 160, 162 de la Ley de enjuiciamiento civil (LEC), vulnera 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Tras su tramitación el recurso de reposición fue desestimado por auto de 30 de octubre de 2019. Según esta resolución, la recurrente tiene la condición de persona jurídica y, por tanto, está obligada a relacionarse con la administración de justicia por medios electrónicos. “Así, pese a las alegaciones del recurrente que pretende mantener que el escrito de oposición fue presentado en plazo para ello por entender que el auto despachando la ejecución y el requerimiento efectuado debe entenderse notificado en fecha 3 de agosto de 2018, en la que se accedió efectivamente a las citadas resoluciones, lo cierto es que debe tenerse en cuenta la fecha en la que efectivamente tuvo la parte posibilidad de acceder a las mismas, de lo contrario se estaría dejando al arbitrio de las partes obligadas a utilizar el sistema electrónico de comunicaciones el cumplimiento de los plazos procesales dispuesto en la normativa” (sic).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demandante de amparo se queja en su recurso de la vulneración de su derecho a la tutela judicial efectiva sin indefensión (art. 24.1 CE) en su vertiente de acceso al proceso. Considera que con la interpretación ofrecida en el auto objeto de impugnación, el juzgado “no ha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solo dirigido al legislador, sino también al intérprete, obligándole a promover la defensa mediante la correspondiente contradicción, tal y como reconoce la sentencia 37/1984 del Tribunal Constitucional”. Justifica la especial trascendencia constitucional aludiendo a la novedosa implantación de procesos de notificación por medios electrónicos en el ámbito de la jurisdicción civil en relación con las exigencias procesales derivadas de la regulación de la Ley de enjuiciamiento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se solicita por medio de segundo otrosí la suspensión de la continuación del procedimiento de ejecución hipotecaria alegando que “con la celebración de subasta y la eventual adjudicación a terceros, pueden hacer perder al recurso de amparo su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15 de junio de 2020 la Sección Segunda de este tribunal acordó no admitir a trámite el recurso de amparo por no apreciar en el mismo la especial trascendencia constitucional que, como condición para su admisión, requiere el art. 50.1 b) de la Ley Orgánica del Tribunal Constitucional (STC 155/2009, de 25 de junio, FJ 2). Dicha providencia se dejó sin efecto en virtud del auto de 18 de septiembre de 2020 que estimó el recurso de súplica interpuesto contra la misma por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21 de septiembre de 2020 la Sección Segunda de este tribunal acordó admitir a trámite el recurso de amparo apreciando que concurre en el mismo una especial trascendencia constitucional (art. 50.1 de la Ley Orgánica del Tribunal Constitucional: LOTC) “toda vez que el recurso puede dar ocasión al tribunal para aclarar o cambiar su doctrina, como consecuencia de cambios normativos relevantes para la configuración del contenido del derecho fundamental [STC 155/2009, FJ 2 b)]”. De conformidad con lo dispuesto en el art. 51 de nuestra Ley Orgánica reguladora (LOTC), se acordó dirigir comunicación al Juzgado de Primera Instancia e Instrucción núm. 4 de Lorca, a fin de que, en el plazo de diez días, remitiera certificación o fotocopia adverada de las actuaciones correspondientes a los autos de ejecución hipotecaria núm. 372-2018 y emplazara a quienes hubieran sido parte en el proceso del que trae causa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presentado en el registro de este tribunal el 18 de diciembre de 2020, la procuradora de los tribunales doña María Claudia Munteanu, actuando en nombre y representación de la entidad Pera Assets Designated Activity Company, solicitó se tuviera a esta última por personada como parte recurrida, entendiéndose con dicha procuradora las actuaciones sucesivas de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21 de diciembre de 2020, la secretaría de justicia de la Sala Primera de este tribunal dictó diligencia de ordenación por la que acordó tener por personada y parte en nombre y representación de Pera Assets Designated Activity Company a la procuradora doña María Claudia Munteanu y dar vista de las actuaciones a las partes personadas y al Ministerio Fiscal, por plazo común de veinte días, a fin de que pudieran presentar las alegaciones que estimasen pertinentes, conforme con lo previsto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entidad demandante de amparo presentó sus alegaciones el 27 de enero de 2021, en las que se remite a lo expuesto en su recurso y hace mención adicional a los pronunciamientos de la STC 40/2020, de 27 de febrero, a propósito del uso indebido de la dirección electrónica habilitada para realizar el primer emplazamiento del demandado.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fiscal ante este Tribunal Constitucional, mediante escrito registrado el 5 de febrero de 2021, presentó sus alegaciones interesando la estimación del recurso de amparo. Tras exponer la jurisprudencia del Tribunal Constitucional sobre los actos de comunicación procesal, con expresa referencia a las SSTC 40/2020, de 27 de febrero, y 43/2020, de 9 de marzo, solicita que se declare vulnerado el derecho a la tutela judicial efectiva sin indefensión de la demandante y la nulidad de todo lo actuado desde la notificación electrónica del auto que despachó la ejecución solicitada, con retroacción de las actuaciones al momento inmediatamente anterior a dicha notificación “para que se le dé al recurrente posibilidad de formular oposición a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fecha 11 de febrero de 2021, se señaló para deliberación y votación de la presente sentencia el día 15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El presente recurso de amparo tiene por objeto la impugnación de los autos de 27 de noviembre de 2018 y de 30 de octubre de 2019, dictados por el Juzgado de Primera Instancia e Instrucción núm. 4 de Lorca, en el procedimiento de ejecución hipotecaria núm. 372-2018. Según la entidad mercantil demandante de amparo, una interpretación irrazonable de la legislación procesal le habría privado injustamente de su derecho a formular oposición a la ejecución hipotecaria. Tratándose de un primer emplazamiento, el requerimiento de pago y alternativo derecho a oponerse a la demanda ejecutiva debió realizarse de manera personal en su domicilio social con entrega en papel de la documentación, y no mediante el servicio de notificaciones electrónicas y de dirección electrónica habilitada de la Fábrica Nacional de Moneda y Timbre. El órgano judicial habría incumplido su obligación de asegurar, no ya la legalidad formal de los actos de comunicación, sino el cumplimiento efectivo de su finalidad constitucional. Todo ello constituiría una vulneración del derecho fundamental de la demandante de amparo a la tutela judicial efectiva sin indefensión (art. 24 CE). Solicita, en consecuencia, la anulación de las resoluciones indicadas, así como la retroacción al momento procesal oportuno, previo al dictado del auto de 27 de noviembre de 2018, a fin de que el juzgado admita a trámite su oposición al despacho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solicitó la estimación de la demanda de amparo y la nulidad de todo lo actuado desde la notificación electrónica del auto de despacho de la ejecución con retroacción de las actuaciones al momento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40/2020, de 27 de febrero, del Pleno del tribunal, estimó un recurso de amparo basado en los mismos motivos, interpuesto por la misma entidad mercantil y dirigido contra autos de contenido muy similar de otro juzgado de Lorca. Corresponde, en consecuencia, dar por reproducidos los fundamentos jurídicos de aquella sentencia y declarar por ello que los autos de 27 de noviembre de 2018 y de 30 de octubre de 2019, dictados por el Juzgado de Primera Instancia e Instrucción núm. 4 de Lorca, han vulnerado el derecho a la tutela judicial efectiva de la recurrente en amparo (art. 24.1 CE). Como en aquel caso, la estimación del amparo trae consigo la nulidad de los autos recurridos, así como de todo lo actuado en el procedimiento hipotecario a quo desde el momento en que se proveyó al emplazamiento de la entidad mercantil solicitante de amparo a través de la dirección electrónica habilitada.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la mercantil Penrei Inversiones, S.L.,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de la recurrente en amparo a la tutela judicial efectiva sin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en consecuencia, declarar la nulidad de los autos de 27 de noviembre de 2018 y de 30 de octubre de 2019, dictados por el Juzgado de Primera Instancia e Instrucción núm. 4 de Lorca, en el procedimiento de ejecución hipotecaria núm. 372-2018, así como la nulidad de las actuaciones realizadas a partir del emplazamiento de la entidad recurrente a través de la dirección electrónica habilitada.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de efectuarse el emplazamiento de la demandada, debiendo llevarse a cabo de nuevo este último por el referido juzgado de forma que resulte respetuoso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febrero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