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febrero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7506-2019, promovido por Euroinversiones Inmobiliarias Costa Sur, S.L., representada por la procuradora de los tribunales doña Blanca Berriatua Horta y bajo la dirección del letrado don Marcelino Gilabert García, contra los autos de 27 de noviembre de 2018 y de 30 de octubre de 2019, dictados por el Juzgado de Primera Instancia e Instrucción núm. 4 de Lorca, en el procedimiento de ejecución hipotecaria núm. 372-2018, por los que, respectivamente, se inadmite por extemporánea la demanda de oposición formulada y se confirma esta última decisión, tras desestimarse el recurso de reposición interpuesto frente a ella. Ha intervenido el Ministerio Fiscal. Ha comparecido la entidad Pera Assets Designated Activity Company, actuando como sucesora procesal del banco ejecutante.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26 de diciembre de 2019, la entidad Euroinversiones Inmobiliarias Costa Sur, S.L., representada por la procuradora de los tribunales doña Blanca Berriatua Horta y bajo la dirección del letrado don Marcelino Gilabert García, interpuso recurso de amparo contra las resoluciones referidas en el encabezamiento. La presentación de dicho escrito dio lugar al recurso de amparo núm. 7506-2019, cuyo conocimiento correspondió a la Sección Segunda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la pretensión planteada, según se recogen en la demanda y en la documentación aportada,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Juzgado de Primera Instancia e Instrucción núm. 4 de Lorca se sigue procedimiento de ejecución hipotecaria núm. 372-2018 promovido por la entidad Banco de Sabadell, S.A., frente a las sociedades Euroinversiones Inmobiliarias Costa Sur, S.L., en calidad de prestataria e hipotecante, y Penrei Inversiones, S.L., en calidad de titular registral de un derecho de uso y disfrute sobre el inmueble hipotecado, la finca registral 43.317 del registro de la propiedad núm. 3 de 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27 de junio de 2018 se acordó despachar ejecución frente las sociedades demandadas por la cantidad de 8877,50 € de principal y 4510 € como intereses y costas presupuestados. El servicio de notificaciones de la Fábrica Nacional de Moneda y Timbre remitió a la demandante de amparo, a través de la dirección electrónica habilitada, un aviso de notificación del citado auto que le fue comunicado por dicho medio el 29 de junio de 2018. En dicha comunicación se informa que la notificación estará disponible hasta el 31 de agosto del mismo año, accediendo la recurrente de amparo efectivamente a la página web y a la notificación dentro del plazo en que la misma se encontraba disponible.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legal de Penrei Inversiones, S.L., presentó escrito de oposición a la ejecución despachada con fecha 31 de agosto de 2018. Por auto de 27 de noviembre de 2018 se acordó su inadmisión por considerar la pretensión extemporánea, tomando como fecha de notificación el 29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sociedad mercantil recurrente interpuso recurso de reposición contra el auto de inadmisión alegando, en síntesis, que las actuaciones de notificación y requerimiento no habían sido realizadas el día 29 de junio de 2018, sino en la fecha en que accedió a la web y procedió a su descarga, y que la comunicación remitida a través de la dirección electrónica habilitada no puede entenderse más que un aviso de puesta a disposición o descarga de su contenido durante un plazo determinado (en el caso desde el 29 de junio hasta el 31 de agosto de 2018), pues entenderlo de otro modo, además de infringir los arts. 135, 152, 160 y 162 de la Ley de enjuiciamiento civil (LEC), vulnera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Tras su tramitación el recurso de reposición fue desestimado por auto de 30 de octubre de 2019. Según esta resolución, la recurrente tiene la condición de persona jurídica y, por tanto, está obligada a relacionarse con la administración de justicia por medios electrónicos. “Así, pese a las alegaciones del recurrente que pretende mantener que el escrito de oposición fue presentado en plazo para ello por entender que el auto despachando la ejecución y el requerimiento efectuado debe entenderse notificado en fecha 3 de agosto de 2018, en la que se accedió efectivamente a las citadas resoluciones, lo cierto es que debe tenerse en cuenta la fecha en la que efectivamente tuvo la parte posibilidad de acceder a las mismas, de lo contrario se estaría dejando al arbitrio de las partes obligadas a utilizar el sistema electrónico de comunicaciones el cumplimiento de los plazos procesales dispuesto en la normativa”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se queja en su recurso de la vulneración de su derecho a la tutela judicial efectiva sin indefensión (art. 24.1 CE) en su vertiente de acceso al proceso. Considera que con la interpretación ofrecida en el auto objeto de impugnación, el juzgado “no ha dado cumplimiento a las exigencias constitucionales reconocidas para los actos de notificación procesal, donde los órganos judiciales no han de limitarse al formal cumplimiento de los requisitos legales, sino que para asegurar la efectividad del derecho fundamental, la interpretación de las normas reguladoras del emplazamiento debe hacerse tratando de asegurar que el acto de comunicación cumple su finalidad constitucional, es decir, la efectividad real del emplazamiento, pues el artículo 24.1 de la Constitución Española contiene un mandato no solo dirigido al legislador, sino también al intérprete, obligándole a promover la defensa mediante la correspondiente contradicción, tal y como reconoce la sentencia 37/1984 del Tribunal Constitucional”. Justifica la especial trascendencia constitucional aludiendo a la novedosa implantación de procesos de notificación por medios electrónicos en el ámbito de la jurisdicción civil en relación con las exigencias procesales derivadas de la regulación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solicita por medio de segundo otrosí la suspensión de la continuación del procedimiento de ejecución hipotecaria alegando que “con la celebración de subasta y la eventual adjudicación a terceros, pueden hacer perder al recurso de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29 de junio de 2020 la Sección Segunda de este tribunal acordó no admitir a trámite el recurso de amparo por no apreciar en el mismo la especial trascendencia constitucional que, como condición para su admisión, requiere el art. 50.1 b) LOTC (STC 155/2009, de 25 de junio, FJ 2). Dicha providencia se dejó sin efecto en virtud del auto de 18 de septiembre de 2020 que estimó el recurso de súplica interpuesto contra la misma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21 de septiembre de 2020 la Sección Segunda de este tribunal acordó admitir a trámite el recurso de amparo apreciando que concurre en el mismo una especial trascendencia constitucional [art. 50.1 de la Ley Orgánica del Tribunal Constitucional (LOTC)] “toda vez que el recurso puede dar ocasión al tribunal para aclarar o cambiar su doctrina, como consecuencia de cambios normativos relevantes para la configuración del contenido del derecho fundamental [STC 155/2009, FJ 2 b)]”. De conformidad con lo dispuesto en el art. 51 de nuestra Ley Orgánica reguladora (LOTC), se acordó dirigir comunicación al Juzgado de Primera Instancia e Instrucción núm. 4 de Lorca, a fin de que, en el plazo de diez días, remitiera certificación o fotocopia adverada de las actuaciones correspondientes a los autos de ejecución hipotecaria núm. 372-2018 y emplazara a quienes hubieran sido parte en el proceso del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 este tribunal el 18 de diciembre de 2020, la procuradora de los tribunales doña María Claudia Munteanu, actuando en nombre y representación de la entidad Pera Assets Designated Activity Company, solicitó se tuviera a esta última como personada como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21 de diciembre de 2020, la secretaría de justicia de la Sala Primera de este tribunal dictó diligencia de ordenación por la que acordó tener por personada y parte en nombre y representación de Pera Assets Designated Activity Company a la procuradora doña María Claudia Munteanu y dar vista de las actuaciones a las partes personadas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entidad demandante de amparo presentó sus alegaciones el 27 de enero de 2021, en las que se remite a lo expuesto en su recurso y hace mención adicional a los pronunciamientos de la STC 40/2020, de 27 de febrero, a propósito del uso indebido de la dirección electrónica habilitada para realizar el primer emplazamiento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fiscal ante este Tribunal Constitucional, mediante escrito registrado el 28 de enero de 2021, presentó sus alegaciones interesando la estimación del recurso de amparo. Tras exponer la jurisprudencia del Tribunal Constitucional sobre los actos de comunicación procesal, con expresa referencia a las SSTC 40/2020, de 27 de febrero, y 43/2020, de 9 de marzo, solicita que se declare vulnerado el derecho a la tutela judicial efectiva sin indefensión de la demandante y la nulidad de todo lo actuado desde la notificación electrónica del auto que despachó la ejecución solicitada, con retroacción de las actuaciones al momento inmediatamente anterior a dicha notificación “para que se le dé al recurrente posibilidad de formular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fecha 11 de febrero de 2021,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 los autos de 27 de noviembre de 2018 y de 30 de octubre de 2019, dictados por el Juzgado de Primera Instancia e Instrucción núm. 4 de Lorca, en el procedimiento de ejecución hipotecaria núm. 372-2018. Según la entidad mercantil demandante de amparo, una interpretación irrazonable de la legislación procesal le habría privado injustamente de su derecho a formular oposición a la ejecución hipotecaria. Tratándose de un primer emplazamiento, el requerimiento de pago y alternativo derecho a oponerse a la demanda ejecutiva debió realizarse de manera personal en su domicilio social con entrega en papel de la documentación, y no mediante el servicio de notificaciones electrónicas y de dirección electrónica habilitada de la Fábrica Nacional de Moneda y Timbre. El órgano judicial habría incumplido su obligación de asegurar, no ya la legalidad formal de los actos de comunicación, sino el cumplimiento efectivo de su finalidad constitucional. Todo ello constituiría una vulneración del derecho fundamental de la demandante de amparo a la tutela judicial efectiva sin indefensión (art. 24 CE). Solicita, en consecuencia, la anulación de las resoluciones indicadas, así como la retroacción al momento procesal oportuno, previo al dictado del auto de 27 de noviembre de 2018, a fin de que el juzgado admita a trámite su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solicitó la estimación de la demanda de amparo y la nulidad de todo lo actuado desde la notificación electrónica del auto de despacho de la ejecución con retroacción de las actuaciones al momento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reciente STC 40/2020, de 27 de febrero, del Pleno del Tribunal, estimó un recurso de amparo basado en los mismos motivos, interpuesto por la misma entidad mercantil y planteado contra autos de contenido muy similar de otro juzgado de Lorca. Corresponde, en consecuencia, dar por reproducidos los fundamentos jurídicos de aquella sentencia y declarar por ello que los autos de 27 de noviembre de 2018 y de 30 de octubre de 2019, dictados por el Juzgado de Primera Instancia e Instrucción núm. 4 de Lorca, han vulnerado el derecho a la tutela judicial efectiva de la recurrente en amparo (art. 24.1 CE). Como en aquel caso, la estimación del amparo trae consigo la nulidad de los autos recurridos, así como de todo lo actuado en el procedimiento hipotecario a quo desde el momento en que se proveyó al emplazamiento de la entidad mercantil solicitante de amparo a través de la dirección electrónica habilitada.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mercantil Euroinversiones Inmobiliarias Costa Sur,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recurrente en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los autos de 27 de noviembre de 2018 y de 30 de octubre de 2019, dictados por el Juzgado de Primera Instancia e Instrucción núm. 4 de Lorca, en el procedimiento de ejecución hipotecaria núm. 372-2018,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este último por el referido juzgado de forma que resulte respetuoso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