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183-2020, promovido por Euroinversiones Inmobiliarias Costa Sur, S.L., representada por la procuradora de los tribunales doña Blanca Berriatua Horta y bajo la dirección de la letrada doña Anju Nirmala Benavent Rodríguez, contra el auto del Juzgado de Primera Instancia e Instrucción núm. 4 de Lorca, de 14 de noviembre de 2018, que inadmitió la demanda de oposición a la ejecución formulada por dicha mercantil, en el procedimiento de ejecución hipotecaria núm. 364-2018 instado por la entidad Banco de Sabadell, S.A., y contra el auto del mismo juzgado, de 20 de noviembre de 2019, que desestimó el recurso de reposición interpuesto contra la anterior resolución. Ha intervenido el Ministerio Fiscal. Ha comparecido la entidad Pera Assets Designated Activity Company, actuando como sucesora procesal del banco ejecutante.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enero de 2020, la procuradora de los tribunales doña Blanca Berriatua Horta, actuando en nombre y representación de Euroinversiones Inmobiliarias Costa Sur,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como prestataria e hipotecante, y contra Penrei Inversiones, S.L., como titular del derecho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6 de Lorca, al que correspondió el conocimiento de la causa, dictó auto el 18 de junio de 2018 por el que acordó el despacho de ejecución (procedimiento de ejecución hipotecaria núm. 364-2018),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julio de 2018, el servicio de notificaciones electrónicas de la Fábrica Nacional de Moneda y Timbre remitió al buzón de la dirección electrónica habilitada de la entidad aquí recurrente en amparo, un correo avisándole de que tenía una notificación del Juzgado de Primera Instancia núm. 4 de Lorca relativa al proceso “EJH/000364/2018”; notificación a la que podía acceder entre los días 3 de julio y 18 de agosto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3 de agosto de 2018 Euroinversiones Inmobiliarias Costa Sur, S.L., accedió al enlace remitido por la dirección electrónica habilitada y, con ello, a la notificación enviada por el juzgado de primera instancia ejecutor en relación con el procedimiento hipotecario núm. 364-2018.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agosto de 2018 Euroinversiones Inmobiliarias Costa Sur, S.L., presentó escrito de oposición a la demanda de ejecución. Por auto de 14 de noviembre de 2018 el Juzgado de Primera Instancia e Instrucción núm. 4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Euroinversiones Inmobiliarias Costa Sur, S.L., presentó recurso de reposición contra el auto de 14 de noviembre de 2018 basándose en la infracción de los arts. 135, 152, 160 y 162 de la Ley de enjuiciamiento civil (LEC) y del art. 24 CE. Dicho recurso fue desestimado por auto de 20 de noviembre de 2019, haciendo saber a las partes que esta resolución es firme y que contra la misma no cabe recurso alguno. Señala el auto que debe “ser desestimado el recurso de reposición interpuesto por ser el auto recurrido conforme a la normativa procesal vigente en materia de oposición a la ejecución (art.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1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por la recurrente que el juzgado haya fundamentado su segunda decisión en la Ley del procedimiento administrativo común, que considera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lo que solicitó la suspensión de la continuación del procedimiento de ejecución hipotecaria 364-2018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16 de junio de 2020 se acordó no admitir a trámite el recurso por no apreciar en el mismo la especial trascendencia constitucional que, como condición para su admisión, requiere el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la citada providencia interpuso recurso de súplica el Ministerio Fiscal. El recurso fue estimado por auto de 15 de septiembre de 2020 que acordó dejar sin efecto la providencia de 16 de junio de 2020 y reponer las actuaciones al momento anterior a dictarse la providencia anulada a fin de que se dicte otra que se pronuncie sobre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dictó providencia el 19 de octubre de 2020 por la que acordó: (i) admitir a trámite el recurso, “apreciando que concurre en el mismo una especial trascendencia constitucional (art. 50.1 LOTC) toda vez que el recurso puede dar ocasión al tribunal para aclarar o cambiar su doctrina, como consecuencia de cambios normativos relevantes para la configuración del contenido del derecho fundamental (STC 155/2009, FJ 2 b)”; (ii) dirigir atenta comunicación al Juzgado de Primera Instancia e Instrucción núm. 4 de Lorca, a fin de que, en plazo de diez días emplacen, a quienes hubieran sido parte en el procedimiento, excepto la parte recurrente en amparo, para que puedan comparecer, si lo desean, en el presente recurso de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1 de noviembre de 2020, la procuradora de los tribunales doña María Claudia Munteanu,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 de ordenación de 5 de noviembre de 2020, el secretario de justicia de la Sala Primera de este tribunal tuvo por personada y parte a la procuradora doña María Claudia Munteanu en la representación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16 de noviembre de 2020 se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17 de diciembre de 2020,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2 de diciembre de 2020,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6 de Lorca, en el juicio de ejecución hipotecaria 364-2018”, y retroacción de las actuaciones al momento inmediato anterior a aquella notificación, para que se le dé al recurrente posibilidad de contestar a la demanda. Considera la fiscal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de la solicitud de suspensión formulada por la recurrente en amparo mediante otrosí de su escrito de demanda, por auto de la Sala Primera de este tribunal núm. 163/2020, de 14 de diciembre,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impugnadas han vulnerado el derecho a la tutela judicial efectiva (art. 24.1 CE) de la entidad recurrente,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núm. 4 de Lorca, de 14 de noviembre de 2018 y 20 de noviembre de 2019, recaídos en el proceso hipotecario núm. 364-2018.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la STC 40/2020, de 25 de febrero, en la que ha tenido la oportunidad de resolver el recurso de amparo cabecera de esta serie, promovido contra dos autos de coincidente contenido con los que ahora se impugnan, y donde dio respuesta a los mismos argumentos que defiende aquí la recurrente,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presentado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14 de noviembre de 2018 y 20 de noviembre de 2019, dictados por el Juzgado de Primera Instancia e Instrucción núm. 4 de Lorca en el proceso de ejecución hipotecaria núm. 364-2018,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