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2535-2019, promovido por Euroinversiones Inmobiliarias Costa Sur, S.L., representada por la procuradora de los tribunales doña Blanca Berriatua Horta y bajo la dirección del letrado don Marcelino Gilabert García, contra los autos de 27 de febrero de 2019 y 21 de septiembre de 2018 dictados por el Juzgado de Primera Instancia núm. 5 de Lorca en el proceso de ejecución hipotecaria núm. 362-2018.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abril de 2019, Euroinversiones Inmobiliarias Costa Sur, S.L., representada por la procuradora de los tribunales doña Blanca Berriatua Horta y bajo la dirección del letrado don Marcelino Gilabert García, interpone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a instancias de la entidad Banco de Sabadell, S.A., se sigue procedimiento de ejecución núm. 362-2018 frente a la sociedad Euroinversiones Inmobiliarias Costa Sur, S.L., en calidad de prestataria e hipotecante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8 de junio de 2018, el servicio de notificaciones de la Fábrica Nacional de Moneda y Timbre remite a la demandante de amparo, a través de la dirección electrónica habilitada, un aviso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24 de julio de 2018, dentro del plazo concedido para acceder a la notificación, la demandante de amparo accedió a la página web indicada teniendo acceso a la notificación y a los documentos que la acompañaban, en concreto, al auto de despacho de la ejecución, el decreto dictado por el letrado de la administración de justicia y a la copia de la demanda. En la misma fecha el servicio de notificaciones emitió un certificado en el que consta la aceptación de la notificación por su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julio de 2018, la demandante de amparo formuló oposición a la ejecución despachada. Por auto de 21 de septiembre de 2018, el juzgado tiene por efectuada la notificación el 13 de junio anterior e inadmite el escrito de oposición por extemporáneo. En el antecedente de hecho segundo se dice que “en fecha de 13 de junio de 2018 se notificó y requirió en legal forma a través de la sede judicial electrónica a ambas ejecutadas, y en fecha 31-07-18 se ha presentado por Euroinversiones Inmobiliarias Costa Sur,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mercantil solicitante de amparo interpuso recurso de reposición. Alegaba que las diligencias de notificación y requerimiento no habían sido realizadas el día 13 de junio de 2018, sino el 31 de julio de 2018 y que la comunicación remitida a través de la dirección electrónica habilitada no podía entenderse más que como aviso de puesta a disposición o descarga de su contenido durante un plazo determinado (en el caso desde el 13 de junio al 29 de julio de 2018) y entenderlo de otro modo, además de infringir los arts. 135, 152, 160, 162 de la Ley de enjuiciamiento civil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auto de 27 de febrero de 2019. El órgano judicial, tras razonar que es indiscutible que la recurrente reúne la condición de persona jurídica obligada a relacionarse telemáticamente con la administración de justicia, de conformidad con lo previsto en la disposición transitoria cuarta de la Ley 42/2015, de 5 de octubre, de reforma de la Ley 1/2000, de 7 de enero, de enjuiciamiento civil así como en los arts. 14.2 Ley 39/2015 y del art. 373.3 LEC, señala que la recurrente “yerra en el plazo en el que puede acceder a su contenido a efectos de la práctica de la notificación el cual es de diez días naturales desde el puesta a su disposición y ello por imperativo del art. 43 de la citada Ley 39/2015, de 1 de octubre, del procedimiento administrativo común de las administraciones públicas”,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al proceso “al darle conocimiento de la existencia del procedimiento a través de un correo electrónico al que se le da el carácter de emplazamiento y primera notificación para personarse en unas actuaciones sin constatar la existencia misma de su recepción íntegra y del acceso de mi representada al contenido de los documentos que se pretendían notificar mediante el emplazamiento por vía telemática y, a pesar de ello, no se realiza otro tipo de gestión para dejar constancia en las actuaciones de la efectiva recepción de la notificación por el destinatario de misma”. Considera que la interpretación ofrecida en el auto objeto de impugnación, que se apoya en la Ley de procedimiento administrativo eludiendo las garantías de un proceso judicial, cercena el derecho a la tutela judicial efectiva al privar a la recurrente del derecho a formular oposición en un proceso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precisa que, en efecto, recibió un correo de la Fábrica Nacional de Moneda y Timbre en el que se indica que ha recibido una notificación del órgano emisor juzgados y tribunales (Secretaría General de la Administración de Justicia) en la dirección electrónica habilitada del titular Euroinversiones Inmobiliarias Costa Sur, S.L., NIF B73258006 en los siguientes términos: “La notificación estará disponible en su dirección electrónica habilitada única desde el 13-06-2018 hasta el 29-07-2018. Si no procediera a su lectura en el plazo indicado se producirán los efectos correspondientes, según la normativa aplicable. Para que conste como leída, por favor acceda a http://notificaciones060.es Asunto: “JDO. 1 INST. E INSTR. N 5 DE LORCA EHJ/00000362/2018”.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de conformidad con el art. 273 LEC, su pretendida obligación de comunicarse telemáticamente con la administración de justicia no nace hasta sino después del primer emplazamiento pues, hasta entonces, ninguna relación ha tenido con dicha administración, lo que viene avalado por una interpretación sistemática de este precepto con los arts. 152, 155, 160 y 162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solicita, en consecuencia, la anulación de las resoluciones indicadas, así como la retroacción al momento procesal oportuno, previo al dictado del auto de 21 de septiembre de 2018, a fin de que el juzgado admita a trámite su oposición al despacho de ejecución. El recurso pide también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2019, la Sección Tercera de este tribunal acuerda admitir a trámite el recurso, apreciando que reviste especial trascendencia constitucional (art. 50.1 de la Ley Orgánica del Tribunal Constitucional), toda vez que plantea un problema o afecta a una faceta de un derecho fundamental sobre el que no hay doctrina de este tribunal [STC 155/2009, FJ 2 a)] y puede dar ocasión al tribunal para aclarar o cambiar su doctrina, como consecuencia de cambios normativos relevantes para la configuración del contenido del derecho fundamental [ STC 155/2009, FJ 2 b) ]. Acuerda igualmente dirigir atenta comunicación al Juzgado de Primera Instancia e Instrucción núm. 5 de Lorca, a fin de que, en el plazo de diez días, remita certificación o fotocopia adveradas de las actuaciones correspondientes a la ejecución hipotecaria núm. 57-2018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Segunda de este tribunal, mediante el ATC 177/2019, de 16 de diciembre,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14 de diciembre de 2019, el secretario de justicia de la Sala Segunda acuerda unir a las actuaciones las resoluciones de 6 de marzo de 2020, 30 de septiembre de 2020 y 24 de noviembre de 2020, dictados por el Juzgado de Primera Instancia e Instrucción núm. 5 de Lorca en la ejecución hipotecaria 362-2018 y, a la vista de lo dictaminado en este último, dar vista de las actuaciones a la parte recurrente y al Ministerio Fiscal por plazo común de veinte días, para que puedan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enero de 2020 tiene entrada en el registro de este tribunal escrito de la recurrente en amparo, que ratifica las alegaciones expuestas en la demanda y trascribe en parte los fundamentos jurídicos de la STC 40/2020, de 27 de febrero, en las que el Pleno de este tribunal ha resuelto un recurso de amparo casi idéntico señalando que, el primer emplazamiento o citación al demandado, ha de efectuarse en papel en el domicilio del litigante como impone el art. 155.1 LEC, pues de lo contrario, se estaría vulnerando el derecho a la tutela judicial efectiva sin indefensión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19 de enero de 2020. Solicita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 De acuerdo con la STC 40/2020, cuyos fundamentos jurídicos transcribe parcialmente, el art. 155 LEC contempla una especialidad: cuando se trata del primer emplazamiento o citación del demandado, los actos de comunicación se harán por remisión al domicilio de los litigantes. Se regula una excepción al régimen general de las notificaciones telemáticas, sin distinguir entre obligados y optantes. Esta interpretación se correspondería con el apartado segundo del art. 273.4 LEC, que especifica que “únicamente los escritos y documentos que se presenten vía telemática o electrónica que den lugar al primer emplazamiento, citación o requerimiento del demandado o ejecutado, se deberán aportar en soporte papel, en los tres días siguientes, tantas copias literales cuantas sean las otras partes”. Como indica la STC 40/2020, FJ 4, la finalidad que racionalmente se infiere de ese mandato no es otra que la de trasladar al referido demandado las copias presentadas en papel. A la vista de tales preceptos y de la referida STC 40/2020, así como las emitidas por este tribunal resolviendo otras demandas de amparo idénticas promovidas por Euroinversiones Inmobiliarias Costa Sur, S.L., la fiscal concluye que el juzgado no debió prescindir de la notificación personal. La omisión de la notificación personal habría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 2021 se señala para votación y fallo del presente recurso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27 de febrero de 2019 y 21 de septiembre de 2018, dictados por el Juzgado de Primera Instancia núm. 5 de Lorca en el proceso de ejecución hipotecaria núm. 362-2018.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21 de septiembre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 En tal sentido, subraya que la STC 40/2020, de 27 de febrero, del Pleno, ha estimado un recurso de amparo basado en los mismos motivos, interpuesto por la misma entidad mercantil y dirigido contra autos de contenido muy similar de otro juzgado de lo contencioso-administrativo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dar por reproducidos los fundamentos jurídicos de aquella sentencia y, declarar que los autos de 27 de febrero de 2019 y 21 de septiembre de 2018 del Juzgado de Primera Instancia núm. 5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27 de febrero de 2019 y 21 de septiembre de 2018 dictados por el Juzgado de Primera Instancia núm. 5 de Lorca en el proceso de ejecución hipotecaria núm. 362-2018,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