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3547-2019, promovido por Euroinversiones Inmobiliarias Costa Sur, S.L., contra el auto del Juzgado de Primera Instancia e Instrucción núm. 5 de Lorca, de 21 de septiembre de 2018, que inadmitió la demanda de oposición a la ejecución formulada por dicha mercantil, en el procedimiento de ejecución hipotecaria núm. 353-2018; y contra el auto del mismo juzgado, de fecha 23 de abril de 2019, que desestimó el recurso de reposición interpuesto contra la anterior resolución. Ha intervenido el Ministerio Fiscal. Ha comparecido la entidad Pera Assets Designated Activity Company, actuando como sucesora procesal de la entidad ejecutante, Banco de Sabadell, S.A.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6 de junio de 2019, la procuradora de los tribunales doña Blanca Berriatua Horta, actuando en nombre y representación de Euroinversiones Inmobiliarias Costa Sur, S.L., y asistida por 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hipotecaria contra la mercantil Euroinversiones Inmobiliarias Costa Sur, S.L., relativa a la finca inscrita con el núm. 43.284 en el Registro de la Propiedad núm. 3 de Lorca. El Juzgado de Primera Instancia e Instrucción núm. 5 de Lorca, al que correspondió el conocimiento de la causa, dictó auto, el día 8 de junio de 2018, por el que acordó el despacho de ejecución en el procedimiento de ejecución hipotecaria núm. 353-2018; asimismo, resolvió requerir a las ejecutadas del pago de las cantidades que se reclaman y que dicho auto, junto con el decreto que debe dictar el letrado de la administración de justicia, “serán notificados simultáneamente a la parte ejecutada, tal y como dispone el artículo 553 de la Ley de enjuiciamiento civil (LEC), sin citación ni emplazamiento, para que en cualquier momento pueda personarse en la ejecución”. Se advirtió además que contra dicha resolución no cabía recurso alguno, “sin perjuicio de que la parte ejecutada pueda oponerse al despacho de ejecución en los términos previstos en el artículo 695 LEC, y en el plazo de diez días a contar desde el siguiente a la notificación del presente auto y del decreto que se dicte”. El decreto al que se hace referencia fue dictado por el letrado de la administración de justicia del juzgado a quo en la misma fecha, el cual dispuso la expedición de mandamiento de certificación de la finca al registro de la propiedad competente y el requerimiento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13 de junio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núm. 5 de Lorca, relativa al proceso EJH/0000353/2018, notificación a la que podía acceder entre los días 13 de junio a 29 de julio de 2018, a través de unos enlaces electrónicos que también indicaba. Como información adicional se añadía que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24 de julio de 2018, por personal de la recurrente se accedió al enlace remitido por la dirección electrónica habilitada y, con ello, a la notificación enviada por el juzgado de primera instancia ejecutante, en relación con el procedimiento hipotecario núm. 353-2018.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31 de julio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5 de Lorca dictó auto, el 21 de septiembre de 2018, en cuya virtud inadmitió la oposición planteada. En dicha resolución se expone que “[e]n fecha 12 de junio de 2018 se notificó y requirió en legal forma a través de la sede judicial electrónica a la ejecutada y en fecha 31/7/18 se ha presentado por Euroinversiones Inmobiliarias Costa Sur, S.L., oposición a la ejecución hipotecaria”, para luego fundar la inadmisión, en esencia, en que conforme a la improrrogabilidad de los plazos y la preclusión que establecen los arts. 134 y 136 LEC, en relación con lo dispuesto en el art. 695 LEC, la oposición habría de haberse presentado dentro de los diez días siguientes a la notificación del auto y decreto por el que se despachó la ejecución. Por tanto, al haberse opuesto la ejecutada pasado el plazo legalmente establecido, se debe inadmitir la oposición presentada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la demandante de amparo se interpuso recurso de reposición contra el anterior auto, en el que defendió que la notificación y requerimiento de pago tuvo lugar cuando accedió al contenido de la notificación electrónica remitida y no antes, siendo desde entonces que cabía computar el plazo de diez días del art. 556 LEC. Con invocación también de los arts. 135, 152,158, 158, 160, 162 LEC y la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23 de abril de 2019, el recurso de reposición interpuesto fue desestimado, con los argumentos que constan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los recurrentes, las mismas desde el 1 de enero de 2017 (disposición transitoria cuarta de la Ley 42/2015, de 5 de octubre, de reforma de la LEC) están obligadas a relacionarse con la administración de justicia por medios electrónicos [art. 14.2 a) de la Ley 39/2015 LPAAP y art. 273.3 a) LEC]. Interpretan las recurrentes de forma errónea la normativa aplicable. Así el artículo 162.2 LEC 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13/6/2018 no accediendo al contenido hasta el día 24/7/2018 (fuera de los tres días que establece la normativa procesal), presentando los escritos de oposición a la ejecución en fecha 31/7/2018,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judiciales impugnadas causaron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y ello, pese a que esa comunicación fue el primer emplazamiento en la causa. En todo caso, la recurrente expone que siguió las indicaciones que le facilitó la comunicación electrónica, de manera que accedió al contenido de la notificación del juzgado el último día fijado,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obligada a relacionarse con la administración de justicia a través de medios electrónicos, según dispone el art. 273 LEC, sin embargo, cuando se trata del primer emplazamiento y, por tanto, todavía aquella “aún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dispone que “cuando las partes no actúen representadas por procurador o se trate del primer emplazamiento o citación al demandado, los actos de comunicación se harán por remisión al domicilio de los litigantes”. Corrobora la expuesto, según indica, la reciente STC 47/2019, de 8 de abril, parte de cuya fundamentación jurídica transcribe y de cuyo contenido deduce “que en modo alguno debe entenderse que, tratándose del emplazamiento, este no se efectúe en el domicilio como impone el artículo 155.1 de la Ley de Enjuiciamiento Civil, y que todas las normas que se hace mención en el auto recurrido y en los escritos de impugnación del recurso, para nada cuestionan el carácter imperativo de esa obligación, cuando de aquel acto se trata, máxime cuando se constata que el medio telemático no dio resultado como primera llamada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auto de 10 de septiembre del 2019, que desestimó el recurso de reposición promovido contra la anterior resolución, se rechaza por la recurrente que el juzgado haya fundamentado su decisión en la Ley del procedimiento administrativo común, norma que estima que no es de aplicación en el ámbito procesal civil, puesto que la Ley de enjuiciamiento civil no se remite a la normativa administrativa en esta materia. Reitera que, pese a lo previsto en el art. 273 LEC, respecto de la obligación de relacionarse por medios electrónicos con la administración de justicia, ello no supone la obligación de tener que recibir la primera notificación o emplazamiento en un proceso judicial por medios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la Sección Tercera de este tribunal, de fecha 5 de septiembre de 2019, se acordó requerir al Juzgado de Primera Instancia e Instrucción núm. 5 de Lorca, a fin de que, a la mayor brevedad posible, remita certificación acreditativa de la interposición o no de recurso de apelación contra alguna de las resoluciones dictadas en las actuaciones principales o en alguna pieza separada en el procedimiento de ejecución hipotecaria seguido en ese juzgado con el número 353-2018, y si ha recaído resolución se remita a esta Sala testimonio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certificación expedida por el letrado de la administración de justicia de requerido órgano judicial, de fecha 17 de septiembre de 2019, se hizo constar que no se había interpuesto recurso de apelación contra ninguna resolución recaída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26 de noviembre de 2019, la Sección Tercera de este tribunal acordó admitir a trámite el recurso de amparo “al apreciar que concurre en el mismo una especial trascendencia constitucional (art. 50.1 LOTC), ya que el recurso plantea un problema o afecta a una faceta de un derecho fundamental sobre el que no hay doctrina de este tribunal [STC 155/2009, FJ 2 a)], y que el recurso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haberse recibido con anterioridad copia autenticada del procedimiento de ejecución hipotecaria núm. 353-2018, solamente se resolvió, con arreglo a lo dispuesto en el art. 51 de la Ley Orgánica del Tribunal Constitucional (LOTC), dirigir atenta comunicación al Juzgado de Primera Instancia e Instrucción núm. 5 de Lorca, a fin de que, en un plazo que no excediera de diez días emplazara a quienes hubieran sido parte en el procedimiento de ejecución referenciado, excepto a la parte recurrente en amparo, por si quisieran comparecer en el presente proceso constitucional, en el plazo de diez días, al efecto de formular alegaciones. Finalmente, acordó: “De conformidad con la solicitud de la parte actora, fórmese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el 16 de diciembre de 2019, la procuradora de los tribunales doña María Claudia Munteanu, en nombre y representación de la entidad Pera Assets Designated Activity Company, sucesora procesal del Banco de Sabadell, S.A., y asistida del letrado don Alejandro Ingram Solís, solicitó que se tuviera a la primera de las entidades citadas como personada y parte,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la Sección Tercera de este tribunal, de 28 de diciembre de 2020, se acordó tener por personada y parte en el procedimiento a la procuradora de tribunales doña María Claudia Munteanu en nombre y representación de Pera Assets Designated Activity Company. A su vez, se resolvió dar vista de las actuaciones recibidas a las partes personadas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29 de enero de 2021 presentó sus alegaciones el Ministerio Fiscal. Tras reflejar los aspectos del procedimiento judicial y de la tramitación seguida ante este tribunal que consideró relevantes, recuerda que el presente recurso de amparo forma parte de una serie, cuyo denominador común son las idénticas vulneraciones que se atribuyen a las resoluciones dictadas por los juzgados de primera instancia e instrucción de Lorca, en diferentes procedimientos de ejecución hipotecaria seguidos contra Euroinversiones Costa Sur, S.L., y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fiscal pone de relieve que algunos de esos recursos ya han sido resueltos por el Tribunal Constitucional, en concreto por las SSTC 40/2020, de 27 de febrero, dictada por el Pleno, y la 43/2020, de 9 de marzo, de la Sala Segunda. En relación con las citadas sentencias, señala que recogen la doctrina establecida por las SSTC 6/2019, de 17 de enero, y 47/2019, de 8 de abril; y añade que, en esta última sentencia, el tribunal por primera vez apreció la vulneración del derecho a la tutela judicial efectiva sin indefensión (art. 24.1 CE), por la inobservancia del emplazamiento personal de la entidad demandada, pues dicha diligencia se realizó a través de la dirección electrónica habilitada de la entonces demandante de amparo, sin tener en cuenta que el art. 155 LEC obliga a que el primer emplazamiento del demandando o ejecutado se realice de manera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transcribe parte de la fundamentación jurídica de la STC 40/2020 y recuerda que la STC 43/2020 resuelve en el mismo sentido por remisión a la anterior y, asimismo, reproduce la parte de la argumentación de la STC 19/2020, de 10 de febrero, que recoge la doctrina establecida en las SSTC 6 y 47/2019 ya indicadas. Finalmente, afirma que la doctrina expuesta resulta íntegramente aplicable, por lo que interesa su estimación, por haberse vulnerado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1 de febrero de 2021 presentó sus alegaciones la entidad demandante de amparo. Como primera cuestión, y a fin de evitar repeticiones innecesarias, se reiteró en lo ya expuesto en su escrito de interposición del recurso de amparo. No obstante, destaca la reciente sentencia del Pleno del Tribunal Constitucional 40/2020, de 27 de febrero, que resuelve el recurso de amparo núm. 5377-2018, promovido por Euroinversiones Inmobiliarias Costa Sur, S.L., en un asunto prácticamente igual al del presente recurso de amparo, en el que el citado tribunal sostiene que, tratándose del primer emplazamiento o citación al demandado, este ha de efectuarse en el domicilio del litigante, como impone el artículo 155.1 LEC, pues de lo contrario se estaría vulnerando el derecho a la tutela judicial efectiva sin indefensión (art. 24.1 CE). Por último, tras reproducir parte de la fundamentación jurídica de la referida sentencia, solicita que se dicte sentencia estimatoria, en los términos interesados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entidad Pera Assets Designated Activity Company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25 febrero de 2021, se señaló para deliberación y votación de la presente sentencia el 3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inadmitieron a trámite los escritos de oposición a la ejecución presentados por aquellas, al considerarlos extemporáneos. En concreto, en el presente recurso se impugnan los autos del Juzgado de Primera Instancia e Instrucción núm. 5 de Lorca, de 21 de septiembre de 2018 y 23 de abril de 2019, recaídos en el proceso de ejecución hipotecaria núm. 353-2018.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del derecho fundamental a la tutela judicial efectiva (art. 24.1 CE), en sus vertientes de derecho a no padecer indefensión y a obtener una resolución fundada en Derecho, al no haberse efectuado el primer emplazamiento de manera personal y con entrega en papel de la documentación correspondiente, tal y como establecen las normas de la Ley de enjuiciamiento civil, singularmente el art. 155.1. 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en cuanto al fondo del asunto, que obligue a una fundamentación o resultado diferente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3 se resuelve así la queja de fondo por lesión del art. 24.1 CE, derivada de la inadmisión del escrito de oposición a la ejecución. Al respecto se afirma que resulta de aplicación al caso la doctrina de este tribunal plasmada en sus SSTC 6/2019, de 17 de enero, FJ 4 a), dictada al resolver una cuestión de inconstitucionalidad, y 47/2019, de 8 de abril, FJ 4 a), recaída en un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se constató en el fundamento jurídico 4 de la STC 40/2020, en el presente caso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el órgano judicial fundamentó el computó del plazo para presentar el escrito de oposición en normas del procedimiento administrativo común, que son ajenas al ámbito jurisdiccional en el que nos encontramos, en alegal conjunción con el plazo del art. 556 LEC. Todo lo cual determina la estimación del amparo por vulneración de su derecho a la tutela judicial efectiva sin indefensión,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fechas 21 de septiembre de 2018 y 23 de abril de 2019, dictados por el Juzgado de Primera Instancia e Instrucción núm. 5 de Lorca en el proceso de ejecución hipotecaria núm. 353-2018,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a fin de que se practique nuevamente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