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7505-2019, promovido por la entidad Euroinversiones Inmobiliarias Costa Sur, S.L., en autos núm. 373-2018 del Juzgado de Primera Instancia e Instrucción núm. 4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Inmobiliarias Costa Sur, S.L., representada por la procuradora de los tribunales doña Blanca Berriatua Horta y bajo la dirección de la letrada doña Anju Nirmala Benavent Rodríguez, interpuso recurso de amparo contra los autos de 19 de noviembre de 2018 y 16 de septiembre de 2019, dictados por el Juzgado de Primera Instancia e Instrucción núm. 4 de Lorca, en el procedimiento de ejecución hipotecaria núm. 373-2018, por los que, respectivamente, se inadmitió por extemporánea la demanda de oposición formulada y se confirmó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373-2018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43413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27 de junio de 2018 se acordó despachar ejecución frente las sociedades demandadas por la cantidad de 8199,12 € de principal y 4510 € como intereses y costas presupuestados. El citado auto y el decreto de la misma fecha que le siguió fueron comunicados a las citadas sociedades a través de la sede judicial electrónica el día 29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31 de agosto de 2018. Por auto de 19 de noviembre siguiente fue acordada su inadmisión por considerar que la pretensión de oposición era extemporánea, tomando como fecha de notificación el 29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en la fecha indicada, sino el 3 de agosto siguiente, fecha en la que accedió a la web y procedió a su descarga, y que la comunicación remitida a través de la dirección electrónica habilitada no puede entenderse más que como un aviso de puesta a disposición para descarga de su contenido durante un plazo determinado (en el caso desde el 3 de julio hasta el 18 de agosto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16 de septiembre de 2019. Según esta resolución, la entidad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medio de segundo otrosí la suspensión de la continuación del procedimiento de ejecución hipotecaria hasta tanto sea resuelto el recurso de amparo, alegando que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junio de 2020, la Sección Primera de este tribunal acordó inadmitir a trámite el recurso de amparo por no apreciar en el mismo la especial trascendencia constitucional que, como condición para su admisión, requiere el art. 50.1 b) de la Ley Orgánica del Tribunal Constitucional (LOTC). Recurrida en súplica la providencia por el Ministerio Fiscal, el recurso fue estimado mediante auto de la Sección de 22 de septiembre de 2020. Por providencia de fecha 19 de octubre de 2020, el recurso fue admitido a trámite al apreciar la causa de especial trascendencia constitucional a que se refiere el apartado b) del fundamento jurídico 2 de la STC 155/2009, por lo que se acordó y dirigir comunicación al Juzgado de Primera Instancia e Instrucción núm. 4 de Lorca, a fin de que, en plazo que no excediera de diez días, remitiera certificación o fotocopia adverada de las actuaciones correspondientes a los autos de ejecución hipotecaria y emplazara por el mismo plazo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26 de octubre de 2020 la demandante formuló sus alegaciones, reiterando lo expuesto en el otrosí de su demanda y trascribiendo como fundamento de su pretensión lo expresado en parte del ATC 21/2018,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5 de noviembre de 2020, el Ministerio Fiscal se ha opuesto a la pretendida suspensión del procedimiento de ejecución hipotecaria, interesando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el demandante no explicita razón alguna que permita afirmar que la continuación del procedimiento judicial, incluso con desplazamiento posesorio, provoque un perjuicio determinante de la pérdida de finalidad del recurso de amparo. En tal medida, consideran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 de la entidad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Habiéndose personado en el proceso de amparo la procuradora de los tribunales doña Maria Claudia Munteanu, en nombre y representación de la entidad Pera Assets Designated Activity Company, que ha sucedido a la entidad inicialmente demandante (Banco de Sabadell), se le concedió un plazo de tres días para que formulara las alegaciones que, en relación con la petición de suspensión, tuviera por convenientes. El escrito de alegaciones fue presentado el pasado 4 de enero de 2021: en él se propugna la desestimación de la petición de suspensión dada la vaguedad de la petición formulada, la mala fe procesal de la demandante de amparo y la ausencia de un principio de prueba sobre el perjuicio alegado y del ofrecimiento de caución o fianza suficiente para garantizar la suspensión que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373-2018,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existe una consolidada doctrina constitucional, de la que son buena muestra, entre otros muchos, los AATC 220/2008, de 14 de julio, FJ 2, y 64/2009, de 23 de febrero, FJ 2, o los más recientes AATC 56/2013, de 13 de febrero, FJ 2; 74/2013, de 8 de abril, FJ 2; 152/2013, de 8 de julio, FJ 2; 37/2014, de 11 de marzo, FJ 2; 282/2014, de 17 de noviembre, FJ 4, y 59/2015, de 16 de marzo, FJ 2, que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150/2019, 155/2019 y 156/2019, de 25 de noviembre; y AATC 36/2020, 47/2020, 81/2020, 123/2020, 137/2020, 141/2020 y 142/2020),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línea con las recientes resoluciones sobre suspensión que acaban de ser citadas, la Sección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373-2018,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presente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