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691-2020,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febrero de 2020, la entidad Euroinversiones Inmobiliarias Costa Sur, S.L., representada por la procuradora de los tribunales doña Blanca Berriatua Horta y bajo la dirección de la letrada doña Anju Nirmala Benavent Rodríguez, interpuso recurso de amparo contra los autos dictados por el Juzgado de Primera Instancia e Instrucción núm. 4 de Lorca en el procedimiento de ejecución hipotecaria núm. 359-2018 en fechas 14 de noviembre de 2018 y 12 de diciembre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691-2020,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3 de febrero de 2020,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4 de Lorca en el procedimiento de ejecución hipotecaria núm. 359-2018 en fechas 14 de noviembre de 2018 y 12 de diciembre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693-2020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diligencias de ordenación de fechas 14 de septiembre y 12 de noviembre de 2020 se tiene por personada y parte en dichos recursos a la entidad Pera Assets Designed Activity Company, actuando como sucesora procesal del banco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que los referidos recursos de amparo quedaron conclusos para sentencia, por diligencia de ordenación de 29 de enero de 2021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escritos registrados el 26 de enero de 2021, manifestó su conformidad a la acumulación. Las partes demandantes de amparo declararon su voluntad de dejar la decisión a criterio del tribunal y la sucesora procesal del banco ejecutante manifestó su no oposición 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691-2020 y 693-2020,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693-2020 al recurso de amparo registrado con el número 691-2020.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