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20</w:t>
      </w:r>
      <w:r w:rsidRPr="008B7AB5" w:rsidR="008B7AB5">
        <w:rPr>
          <w:b/>
          <w:szCs w:val="24"/>
          <w:lang w:val="es-ES_tradnl"/>
        </w:rPr>
        <w:t>/</w:t>
      </w:r>
      <w:r>
        <w:rPr xmlns:w="http://schemas.openxmlformats.org/wordprocessingml/2006/main">
          <w:b/>
          <w:szCs w:val="24"/>
        </w:rPr>
        <w:t>2021</w:t>
      </w:r>
      <w:r w:rsidRPr="008B7AB5" w:rsidR="008B7AB5">
        <w:rPr>
          <w:b/>
        </w:rPr>
        <w:t xml:space="preserve">, </w:t>
      </w:r>
      <w:r>
        <w:rPr xmlns:w="http://schemas.openxmlformats.org/wordprocessingml/2006/main">
          <w:b/>
          <w:szCs w:val="24"/>
        </w:rPr>
        <w:t>de 22 de febrero de 2021</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Primera del Tribunal Constitucional compuesta por don Juan José González Rivas, presidente; y el magistrado don Alfredo Montoya Melgar, en el recurso de amparo núm. 3816-2020, promovido por don Ikram Benhaddi, contra auto de fecha 2 de julio de 2020, dictado por la Sala de lo Penal del Tribunal Supremo, en la que se declaraba no haber lugar a autorizar al demandante a interponer recurso de revisión contra la sentencia dictada por esa misma Sala de fecha 10 de febrero de 2017,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Único: El presente recurso de amparo se dirige contra el auto de fecha 2 de julio de 2020, dictado por la Sala de lo Penal del Tribunal Supremo, en la que se declaraba no haber lugar a autorizar a la demandante a interponer recurso de revisión contra la sentencia dictada por esa misma Sala de fecha 10 de febrero de 2017, en la que se desestimaba el recurso de casación interpuesto contra la sentencia de fecha 23 de junio de 2016 dictada por la Sección Primera de la Audiencia Provincial de Zaragoza.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Mediante escrito fechado el 22 de febrero de 2021, el magistrado don Cándido Conde-Pumpido Tourón comunicó a los efectos oportunos que se abstenía de intervenir en el antes indicado recurso de amparo, de conformidad con el art. 80 de la Ley Orgánica del Tribunal Constitucional, por concurrir la causa de abstención prevista en el artículo 219.11 de la Ley Orgánica del Poder Judicial (LOPJ).</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Único: Vista la comunicación efectuada por don Cándido Conde-Pumpido Tourón magistrado de esta Sección Primera del Tribunal Constitucional, la Sección, en virtud de lo previsto en el art. 219.11 LOPJ, supletoria de la Ley Orgánica del Tribunal Constitucional (art. 80), estima justificada la causa de abstención formulada.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justificada la abstención formulada por el magistrado don Cándido Conde-Pumpido Tourón en el recurso de amparo núm. 3816-2020, apartándole definitivamente del conocimiento del referido recurso y de todas sus incidencias.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veintidós de febrero de dos mil veintiuno.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