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862-2020, promovido por Grúas Puente Rublán, S.L., representada por el procurador de los tribunales don Luis Domingo Fernández Espeso y asistida por el abogado don José Luis Merino García, contra el auto del Juzgado de Primera Instancia núm. 2 de Benavente, de 20 de enero de 2020, que desestimó el incidente de nulidad de actuaciones planteado contra la sentencia 39/2019, de 26 de marzo, dictada en el procedimiento ordinario núm. 297-2018, promovido por la entidad REC Accesorios, S.L., personada en estas actuaciones, representada por el procurador de los tribunales don Alberto del Hoyo López y asistida por el abogado don Marco Antonio Furones Gil.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registro general de este tribunal el 10 de febrero de 2020, el procurador de los tribunales don Luis Domingo Fernández Espeso, actuando en nombre y representación de Grúas Puentes Rublán, S.L., bajo la defensa del letrado don José Luis Merino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mercantil REC Accesorios, S.L., presentó demanda de juicio ordinario señalando como parte demandada a Grúas Puente Rublán, S.L., que dio lugar al procedimiento ordinario 297-2018 del Juzgado de Primera Instancia e Instrucción núm. 2 de Benavente.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 letrado de la administración de justicia se dictó decreto de 17 de septiembre de 2018 por el que se admitió a trámite la demanda y se acordó emplazar a la parte demandada con traslado de la demanda y documentación acompañada, para que la contestara en el plazo de veinte días hábiles, con las siguientes prevenciones: Apercibir a la parte demandada que, si no compareciera dentro del plazo indicado, se la declarará en situación de rebeldía procesal [art. 496.1 de la Ley de enjuiciamiento civil (LEC)]; advertir a la parte demandada que la comparecencia en juicio debe realizarse por medio de procurador y con asistencia de abogado (arts. 23 y 31 LEC) y llevar a efecto el emplazamiento de la parte demandada a través de la sede electrónica, para lo cual se librarán los despachos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notificación a través de la sede electrónica, tal y como consta en la certificación del “libro de actos de comunicación” de fecha 28 de marzo de 2019, se remitió a la dirección electrónica el 26 de septiembre de 2018 y consta con fecha de recepción el 26 de septiembre, pero no consta fecha de “retirada del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21 de enero de 2019 se declaró a la demandada en situación legal de rebeldía, señalándose la celebración de la audiencia previa el día 12 de febrero de 2019 a las 12:15 horas. Esta diligencia de ordenación también fue notificada a través de la sede electrónica. Según consta en el certificado del “libro de actos de comunicación” de 28 de marzo de 2019, se remitió a la dirección electrónica el 23 de enero de 2019 y fue recepcionada ese mismo día, pero no consta fecha de “retirada del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Celebrada la audiencia previa el día señalado, con la sola asistencia de la parte demandante, el 26 de marzo de 2019 se dictó sentencia 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el procurador de REC Accesorios, S.L., se presentó demanda ejecutiva que dio lugar a los autos de ejecución de títulos judiciales 79-2019 del Juzgado de Primera Instancia e Instrucción núm. 2 de Benavente, dictándose auto de 28 de junio de 2019, por el que se acordó adoptar orden general de ejecución, y despachar ejecución por las cantidades correspondientes por el principal e intereses. En la misma fecha se dictó decreto en orden a dar efectividad a las medidas acordadas. El auto y el decreto señalados fueron notificados a la demandada en su domicilio el día 2 de julio de 2019, momento en el que tuvo conocimiento del procedimiento de juicio ordinario 297-2018.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11 de julio de 2019, la representación procesal de Grúas Puente Rublán, S.L., presentó escrito dirigido a ambos procedimientos (ordinario y de ejecución), interponiendo incidente de nulidad de actuaciones alegando la infracción de lo previsto en los arts. 155, 158 y 161 LEC, y vulneración del derecho a la tutela judicial efectiva (art. 24.1 CE), aduciendo la doctrina del Tribunal Constitucional sentada en la STC 47/2019,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20 de enero de 2020, el juzgado desestimó el incidente de nulidad de actuaciones planteado por la entidad recurrente. En su fundamento jurídico segundo, y tras constatar la forma telemática de las notificaciones impugnadas, se admite el conocimiento de la “nueva doctrina constitucional” mencionada en el escrito. No obstante, considera que el órgano judicial “actuó conforme al Derecho vigente y aplicable durante la tramitación de [ese] procedimiento (previo a tal doctrina) y, por ende, ninguna indefensión se le causó a la parte demandada”. Para ello, señala que la STC 6/2019 (a la que se remite la STC 47/2019) fue publicada con posterioridad a la sentencia dictada en su procedimiento (en concreto, el 14 de febrero de 2019). Sobre esa base, con cita de los arts. 31.1 y 40 de la Ley Orgánica del Tribunal Constitucional (LOTC), entiende que la STC 6/2019, no puede “afectar a la fuerza de cosa juzgada de sentencias firmes ya dictadas y, como consecuencia, al principio de seguridad jurídica”, y “mucho menos” cuando en esa sentencia “no se declara la inconstitucionalidad de una norma”. Otro tanto sucede con la STC 47/2019, como se expone en el fundamento jurídico tercero del auto impugnado. Para el juzgado, esa sentencia “nada concreta sobre la posible retroactividad de [su] interpretación, por lo que entiende […] que debe prevalecer […] la fuerza de cosa juzgada de la sentencia firme ya dictada y el principio de seguridad jurídica”. Continúa argumentando que la “eficacia temporal del cambio de criterio jurisprudencial debe ser templada cuando su aplicación se traduce, en la práctica, en la exigencia de un requisito procesal de carácter formal del que depende la acción o el recurso que no se entendía exigible en el momento de la presentación del escrito, pues así lo impone el parámetro constitucional de la racionalidad de la decisión judicial y los principios de seguridad jurídica, confianza legítima, interdicción de la arbitrariedad y principio tempus regit actum, los cuales [se] entiende incompatibles con declarar en este momento la nulidad de todo lo actuado”. Finalmente, se reconoce el “especial deber que tienen los órganos judiciales de garantizar la efectividad de los actos de comunicación procesal, dada su vinculación [con] el derecho fundamental de defensa y a una tutela judicial efectiva”. No obstante, señala que, por un lado, “hay constancia de la correcta remisión del acto de comunicación”, y por otro, que el emplazamiento se hizo siguiendo las “instrucciones dadas por el Ministerio de Justicia en el año 2016”. De manera que solo “tras el fallo de la citada sentencia del Tribunal Constitucional de fecha 8 de abril de 2019 [es] cuando el Ministerio de Justicia ha comunicado a todos los secretarios de gobierno de tribunales superiores de justicia, Audiencia Nacional y Tribunal Supremo la obligación de notificar la citación o primer emplazamiento a las sociedades y demás personas jurídicas demandadas en su domicilio, y no mediante comunicación telemática a través de la dirección electrónica habilitada facilitada por el Ministerio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 resolución impugnada vulnera el derecho a la tutela judicial efectiva, sin indefensión, así como el derecho de defensa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que considera de interés, la entidad recurrente afirma que el órgano judicial incumplió la normativa procesal (art. 155.2 LEC), al haber notificado telemáticamente el primer emplazamiento, cuando la norma exige que se haga de forma personal y con entrega de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se respetaron las cautelas o garantías de este primer acto de comunicación y que, por dicha causa, se ha tramitado el proceso inaudita altera pars. En apoyo de dicha alegación, se detiene en la doctrina constitucional, en particular en la citada en las SSTC 6/2019, de 17 de enero y 47/2019, de 8 de abril, y censura el razonamiento contenido en el auto resolutorio del incidente de nulidad pues estima que “la juez a quo no ha percibido que la prescripción del art. 155.1 de la LEC está directamente conectado con el derecho de acceso al proceso y a la tutela judicial efectiva del art. 24.1 de la CE” y enfatiza que siendo conocida por el órgano judicial la doctrina constitucional, resulta “doblemente lesivo del derecho a la tutela judicial, pues reitera a sabiendas la lesión inicialmente producida, en lugar de subsanarla”.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Sistematiza la recurrente los motivos de especial trascendencia constitucional en tres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Particularidad sobre la aplicación directa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este apartado que el auto de fecha 20 de enero de 2020, que deniega la nulidad de actuaciones, “no aplica ni la letra de los arts. 5.1 y 7.1 y 2 de la LOPJ ni los principios”; añade que estos preceptos subrayan la vinculación directa de la Constitución y exigen, art. 5.1 de la Ley Orgánica del Poder Judicial (LOPJ), una interpretación y aplicación de las leyes según la letra de esas disposiciones constitucionales y los principios generales que emanan de las mismas en tanto que el art. 7 LOPJ, tras reiterar el vínculo directo del criterio judicial con nuestra Constitución, hace una mención especial al reconocimiento y protección de los derechos y libertades fundamentales “sin que las resoluciones judiciales puedan restringir, menoscabar o inaplicar dicho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recurrente que “el razonamiento que le lleva a la juez a quo a la no subsanación del incorrecto emplazamiento del litigante contiene una desvinculación entre la proclamación contenida en el art. 24.1 de la CE, sobre la tutela judicial efectiva y el derecho a un proceso sin indefensión, y el criterio judicial, ya que según se razona equivocadamente en la resolución los jueces y tribunales no pueden establecer o encontrar el nexo de sus decisiones en la norma fundamental, salvo por la intermediación del Tribunal Constitucional”, lo que estima de “relevancia e interés constitucional claro, para que los jueces y tribunales tengan la constatación de que la cúspide normativa de nuestro ordenamiento jurídico (CE) debe ser asequible a la aplicación directa; mucho más —añadimos— cuando la legalidad ordinaria es conforme a la Constitución y hubiera bastado con haber respetado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Resistencia al acatamiento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el recurrente que “subyace en la construcción del auto una posición ab initio contraria a la aplicación de la doctrina del Tribunal Constitucional, la cual era clara y patente para la juez a quo. No es posible que desde una sana sensibilidad jurídica hacia el derecho fundamental se construyan unos razonamientos que lleven a lo contrario de lo que es accesible para cualquier jurista, desde la simple lectura del texto constitucional hasta las reflexiones efectuadas por el Tribunal Constitucional en sus sentencias. Mucho más cuando se advierte a tiempo que, con posterioridad al primer acto de lesión del derecho fundamental —el decreto de emplazamiento—, el Tribunal Constitucional se ha pronunciado en contra de la práctica procesal que hemos denunciado en todo el recurso de amparo, por lo que había momento para corregir la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Resoluciones contradictorias.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el recurrente que por el órgano judicial “en unos casos se acogió la nulidad de actuaciones y se procedió a nuevo emplazamiento, mientras que en otros casos —como el presente— se denegó la subsanación”; considera irrelevante que “los resultados contradictorios estén pronunciados por servidores del órgano distintos por razón del cambio de la persona titular del juzgado que nos ocupa. Lo importante es que estas aporías generan un estado de inseguridad y de arbitrariedad que repugna a cualquier conciencia ciudadana, y mucho más al sentir de la comunidad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dictó providencia el 19 de octubre de 2020 por la que acordó: (i) admitir a trámite el recurso, “apreciando que concurre en el mismo una especial trascendencia constitucional (art. 50.1 LOTC) como consecuencia de que el órgano judicial pudiera haber incurrido en una negativa manifiesta del deber de acatamiento de la doctrina de este tribunal [STC 155/2009, FJ 2 f)]”; y (ii) dirigir atenta comunicación al Juzgado de Primera Instancia e Instrucción núm. 2 de Benavente, a fin de que remita “certificación o fotocopia adverada de las actuaciones correspondientes al procedimiento ordinario núm. 297-2018”, debiendo “emplazarse […] a quienes hubieran sido parte en el procedimiento” de origen, excepto a la “recurrente en amparo”, para poder comparecer en el presente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9 de noviembre de 2020, el procurador de los tribunales don Alberto del Hoyo López, actuando en nombre y representación de REC Accesorios, S.L., bajo la dirección letrada de don Marco Antonio Furones Gil, solicitó que se le tuviera por personado en este recurso, entendiéndose con esa representación las sucesivas diligencias y notificaciones que se produjeran.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25 de noviembre de 2020 se acordó, de un lado, tener por personada y parte a la entidad REC Accesorios, S.L., a través del procurador mencionado, y de otro, dar vista de las actuaciones a las partes personadas y al Ministerio Fiscal, por plazo común de veinte días, a fin de que pudieran presentar las alegaciones que estimen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representante procesal de la entidad recurrente presentó su escrito de alegaciones el 5 de enero de 2021. En el mismo interesó que se dictara resolución estimatoria del recurso de amparo reiterando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el Tribunal Constitucional presentó escrito de alegaciones el 21 de diciembre de 2020, por el que interesó de este tribunal que dictara sentencia otorgando el amparo a la recurrente, con reconocimiento de la vulneración de su derecho a la tutela judicial efectiva sin indefensión (art. 24.1 CE), y su restablecimiento mediante la declaración de nulidad de “todo lo actuado desde la notificación efectuada electrónicamente del decreto de 17 de septiembre de 2018 por el que se admitió a trámite la demanda y se acordó emplazar a la parte demandada en el procedimiento ordinario 297-2018 del Juzgado de Primera Instancia e Instrucción núm. 2 de Benavente”, así como la retroacción de las actuaciones “al momento inmediatamente anterior a dicha notificación para que se le dé al recurrente [la]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la fiscal comienza con una reseña de los antecedentes que considera de interés, para continuar señalando que nos encontramos ante el mismo supuesto que ya fue resuelto en sentido estimatorio mediante las SSTC 40/2020, de 27 de febrero y 43/2020, de 9 de marzo, cuyo contenido extracta parcialmente. En estas resoluciones se concedió el amparo solicitado por aplicación de la doctrina expuesta, a su vez, en las SSTC 6/2019, de 17 de enero y 47/2019, de 8 de abril, de las que se deriva la obligatoriedad de que el primer emplazamiento se realice de manera personal y con entrega en papel de la documentación, conforme a lo dispuesto en el art. 155.2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representante procesal de REC Accesorios, S.L., presentó su escrito de alegaciones el 7 de enero de 2021. En su escrito solicita la inadmisión del recurso de amparo por ausencia de trascendencia constitucional que justifique un pronunciamiento sobre el fondo. Señala que en el presente caso, si bien se alegan tres motivos que en su enunciado justificarían la especial trascendencia constitucional, no se contiene en el desarrollo argumental de referidos motivos por qué el contenido del recurso merece una decisión de fondo, más allá del interés propio del recurrente de la reparación de la eventual lesión de derechos fundamentales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considera que no hay vulneración del derecho fundamental a la tutela judicial efectiva. En primer lugar, afirma que la referida sentencia del Tribunal Constitucional no es aplicable al presente caso porque resuelve un recurso interpuesto frente a un auto dictado por el Juzgado de lo Social núm. 1 de Toledo en materia laboral, siendo por tanto de aplicación los arts. 53 y siguientes de la Ley reguladora de la jurisdicción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señala que se ha seguido el procedimiento legalmente establecido, pues las notificaciones se han realizado en la dirección electrónica habilitada y constan recibidas en destino, sin que se haya acreditado que por la demandada se hubiera revocado esa dirección.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alega que el proceder judicial en relación a la notificación realizada no es en absoluto caprichoso y tampoco emplea argumentos de la doctrina administrativa para resolver un asunto de lesión de derechos fundamentales. La notificación está correctamente realizada, pues el órgano judicial se adecuó a los requisitos procesales exigidos tras la promulgación de la Ley 42/2015, de 5 de octubre, que obligó a las personas jurídicas a relacionarse con la administración de justicia por vía telemática a través de la dirección electrónica habilitada. Insiste en que el Juzgado actuó de conformidad con lo dispuesto por la Ley y la interpretación jurisprudencial y doctrinal que se hacía de la norma en el momento de practicar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11 de marzo de 2021 se señaló para deliberación y votación de la presente sentencia el día 15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de amparo plantea un supuesto de hecho idéntico a los ya resueltos en anteriores precedentes de este tribunal, en los que se impugnaba la actuación judicial consistente en la inadmisión de incidentes de nulidad de actuaciones, por considerar realizados conforme a derecho las notificaciones de la admisión de una demanda y el consiguiente emplazamiento para personación a través del servicio de notificaciones electrónicas y de dirección electrónica habilitada de la Fábrica Nacional de Moneda y Timbre.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vulneración del derecho a la tutela judicial efectiva, en su vertiente de derecho a no padecer indefensión, al no haberse efectuado aquel emplazamiento de manera personal y con entrega en papel de la documentación correspondiente, tal y como establecen las normas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 la demanda. La parte contraria en el procedimiento judicial de origen interesa la desestimación del recurso por los motivos recogidos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análisis de fondo, hemos de efectuar una consideración previa en relación con el óbice procesal alegado por la representación procesal de la entidad REC Accesorios, S.L., relativo a la falta de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tenido la oportunidad de señalar en otras ocasiones, el momento procesal idóneo para el análisis del cumplimiento de este requisito material de admisibilidad es el trámite de admisión de la demanda de amparo (SSTC 126/2013, de 3 de junio, FJ 2; 170/2013, de 7 de octubre, FJ 2, y 191/2013, de 18 de noviembre, FJ 2), correspondiendo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(SSTC 95/2010, de 15 de noviembre, FJ 4; 47/2014, de 7 de abril, FJ 2, y 54/2015, de 16 de marzo, FJ 4). Pues bien, en tal fase procesal apreciamos —sin que encontremos ahora razones para modificar esa inicial apreciación— que concurre en el mismo una especial trascendencia constitucional “como consecuencia de que el órgano judicial pudiera haber incurrido en una negativa manifiesta del deber de acatamiento de la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demandante en el procedimiento de origen considera que no se cumple el requisito de la especial trascendencia constitucional de este recurso porque, si bien en la demanda se alegan tres motivos que en su enunciado justificarían la especial trascendencia constitucional, no se razona en el desarrollo argumental de los referidos motivos por qué el contenido del recurso merece una decisión de fondo, más allá de la propia vulneración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un análisis de la justificación de la especial trascendencia constitucional alegada en la demanda, nos lleva a la conclusión de que esta expone y argumenta los motivos por los que entiende que concurre este requisito procesal. El recurrente no alega ningún apartado concreto de la STC 155/2009, pero de los términos de su escrito se deduce que invoca un incumplimiento del deber del órgano judicial de acatar la doctrina de este tribunal y, así, literalmente el segundo de los apartados, de los tres en que divide la justificación de la especial trascendencia constitucional del recurso, lleva por rúbrica “Resistencia al acatamiento de la doctrina constitucional”. En este apartado señala el recurrente que el auto recurrido recoge los pronunciamientos del Tribunal Constitucional sobre la materia, pero “subyace en la construcción del auto una posición ab initio contraria a la aplicación de la doctrina del Tribunal Constitucional, la cual era clara y patente para el juez a quo”. Añade que, “se advierte a tiempo que, con posterioridad al primer acto de lesión del derecho fundamental —el decreto de emplazamiento—, el Tribunal Constitucional se ha pronunciado en contra de la práctica procesal que hemos denunciado en todo el recurso de amparo, por lo que había momento para corregir la lesión”. De ahí se desprende, continúa el recurrente, “una obstrucción directa a la aplicación de la Constitución en el caso, que contraría toda la doctrina del Tribunal Constitucional al respecto, resistiendo a dejar sin efecto una resolución judicial —el emplazamiento— bajo una argumentación fútil que se condensa en que se ha conocido su carácter contrario a la Constitución demasiado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mediante dicha alegación la mercantil recurrente cumple con la previsión del art. 49.1 in fine LOTC, según la cual, en todo caso, “la demanda justificará la especial trascendencia constitucional del recurso”, y con la carga procesal que la misma encarna, así como con la finalidad de colaborar con la justicia constitucional que dicha previsión pretende, (STC 178/2012, de 15 de octubre, FJ 3), satisfaciendo el “esfuerzo argumental” exigido (ATC 154/2010, de 15 de noviembre, FJ 4). En efecto, la recurrente ha tratado de justificar la especial trascendencia constitucional del recurso en el hecho de existir una doctrina específica del Tribunal Constitucional sobre el cabal entendimiento del art. 155.1 LEC y su conexión con el art. 24.1 CE que el órgano judicial decide no aplicar. De este modo, no se ha limitado a efectuar una mera afirmación sobre la existencia de la vulneración de un derecho fundamental, como sostiene la representación de REC Accesorios, S.L., y que en modo alguno permitiría el cumplimiento de la carga procesal exigida, sino que ha disociado adecuadamente la argumentación tendente a evidenciar la existencia de la lesión del derecho fundamental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el óbice planteado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del Tribunal Constitucional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desestimada la cuestión formal alegada, y planteado el debate en los términos descritos, debe indicarse que el Pleno de este tribunal ha dictado la STC 40/2020, de 27 de febrero, en la que ha tenido la oportunidad de resolver un recurso de amparo donde se dio respuesta a los mismos argumentos que defienden aquí las partes, con fallo estimatorio de la demanda. El pronunciamiento contenido en la citada STC 40/2020, ha sido ulteriormente reiterado en las SSTC 43/2020, de 9 de marzo; 55/2020, de 15 de junio; 76/2020, de 29 de junio; 176/2020, de 30 de noviembre, o 33/2021, de 15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en este caso la concurrencia de algún elemento distintivo que obligue a una fundamentación o resultado diferente a lo declarado entonces, procede por tanto que hagamos aplicación de la doctrina expuesta en el citado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fundamento jurídico 3 de esa resolución se advierte que es de aplicación la doctrina de este tribunal plasmada en sus SSTC 6/2019, de 17 de enero, FJ 4 a), dictada en sede de cuestión de inconstitucionalidad, y 47/2019, de 8 de abril, FJ 4 a), recaída en proceso de amparo. En ambos supuestos se afirma la “garantía del emplazamiento personal del demandado o ejecutado en los procesos regidos en esta materia por la LEC (directa o supletoriamente), como primera comunicación con el órgano judicial competente, sin que pueda ser sustituida por una comunicación electrónica”, tal y como ocurre con la efectuada a través de la dirección electrónica habilitada. El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[del] derecho fundamental” a la tutela judicial efectiva, como ya ha declarado este tribunal en varios recursos de amparo referidos a procesos laborales, civiles y concursales, que se especifican en el mismo fundamento jurídico 3, precisamente en aplicación de la doctrina de referencia (ver, en tal sentido, las SSTC 102/2019, de 16 de septiembre, FJ 2; 150/2019, de 25 de noviembre, FJ 3; 7/2020, de 27 de enero, FJ 2; 122/2019, de 28 de octubre, FJ 3, y STC 129/2019, de 11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constata la STC 40/2020, en su fundamento jurídico 4, como ha de hacerse también en el presente supuesto, que las resoluciones judiciales impugnadas vulneraron el derecho a la tutela judicial efectiva de la recurrente. El juzgado optó por un emplazamiento a través del servicio de notificaciones electrónicas y dirección electrónica habilitada de la Fábrica Nacional de Moneda y Timbre, que no está previsto en la normativa procesal para estos casos. Ese sistema de notificación determinó que el procedimiento se siguiera a espaldas de la entidad ahora recurrente, que no pudo ejercer las acciones que tuviera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tuvo conocimiento del proceso, y planteado el correspondiente incidente de nulidad de actuaciones, este fue indebidamente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entidad recurrente expuso ante el juzgado la existencia de una doctrina consolidada de este tribunal, y el juzgado rechazó su aplicación mediante la invocación de su supuesta irretroactividad y de una pretendida primacía vinculante de unas instrucciones gubernativas sobre los sistemas de notificaciones telemáticas.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empleados en el auto impugnado no pueden ser acogidos. El juzgado consideró que no debía aplicar la doctrina de este tribunal, argumentando para ello lo dispuesto en los arts. 31.1 y 40 LOTC que, como el propio juzgado reconoce, están previstos para los procedimientos de inconstitucionalidad de disposiciones normativas (art. 40 LOTC), de naturaleza muy diversa a la que nos ocupa. Menor consistencia tiene el argumento de que se actuó en cumplimiento de las instrucciones gubernativas recibidas sobre la utilización del sistema de notificaciones telemáticas con las personas jurídicas, que se modificaron con posterioridad a las sentencias de este tribunal invocadas en el incidente. De esta forma, el juzgado obviaba el deber contenido en el art. 5.1 LOPJ de interpretar y aplicar las leyes y los reglamentos según los preceptos y principios constitucionales, “conforme a la interpretación de los mismos que resulte de las resoluciones dictadas por el Tribunal Constitucional en todo tipo de procesos”. Una vez invocada la doctrina de este tribunal, el juzgado debió aplicarla en el caso concreto a fin de reparar la vulneración alegada, lo que no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la estimación del amparo por vulneración del derecho fundamental a la tutela judicial efectiva sin padecer indefensión (art. 24.1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igualmente, el restablecimiento del derecho vulnerado, acordando la nulidad de la resolución impugnada y de todo lo actuado en el procedimiento de origen, desde el momento en que se proveyó al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Grúas Puente Rublán,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20 de enero de 2020, dictado por el Juzgado de Primera Instancia e Instrucción núm. 2 de Benavente, en el proceso ordinario núm. 297-2018, así como la nulidad de las actuaciones realizadas a partir del decreto de 17 de septiembre de 2018, por el que se acordó la admisión a trámite de la demanda y la notificación y emplazamiento a la parte demandada, ahora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posterior al dictado del decreto de 17 de septiembre de 2018, debiendo llevarse a cabo de nuevo por el juzgado el trámite de notificación y emplazamiento a la parte demandada,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