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18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440-2020, promovido por el presidente del Gobierno contra el art. 19 de la Ley del Parlamento de Canarias 6/2019, de 9 de abril, de calidad agroalimentaria. Ha comparecido y formulado alegaciones el Parlamento de Canarias.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22 de enero de 2020, el presidente del Gobierno interpuso recurso de inconstitucionalidad contra el art. 19 de la Ley del Parlamento de Canarias 6/2019, de 9 de abril, de calidad agroalimentaria, alegando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impugnado permite a los operadores hacer uso del término “vino” para la comercialización de productos obtenidos a partir de la fermentación de frutas distintas de la uva, siempre que dicho término esté acompañado del nombre de la fruta o frutas utilizadas, formando parte de una denominación compuesta. Con ello se contraviene la norma básica recogida en el art. 2.2 e) de la Ley 24/2003, de 10 de julio, de la viña y el vino, que define el “vino” como el “alimento natural obtenido exclusivamente por fermentación alcohólica, total o parcial, de uva fresca, estrujada o no, o de mosto de uva”.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en materia de calidad agroalimentaria [ex arts. 130.1, 130.2 a) y 132 del Estatuto de Autonomía de Canarias (EACan)] tiene como límite, entre otros, la competencia estatal en materia de bases y coordinación general de la planificación de la actividad económica (art. 149.1.13 CE). Es un título transversal que hace posible la intervención del Estado, a través de medidas económicas, incluso en sectores materialmente atribuidos a la competencia de las comunidades autónomas (SSTC 31/2010, de 28 de junio, FJ 64; 254/2004, de 23 de diciembre, FJ 7; 34/2013, de 14 de febrero; 123/2013, de 23 de mayo, y 130/2013, de 4 de junio), y que ampara las normas y actuaciones orientadas a garantizar la unidad de mercado o la unidad económica (SSTC 140/2011, de 14 de septiembre; 207/2012, de 14 de noviembre; 69/2013, de 14 de marzo, y 79/2017, de 22 de junio, FJ 2). Por lo que respecta al sector vitivinícola, la intervención del Estado ex art. 149.1.13 CE, recogida ya en la temprana STC 186/1988, de 17 de octubre, FJ 8, se contempla en la doctrina de las SSTC 34/2013, de 14 de febrero, FJ 4 a), y 82/2013, de 11 de abril, FJ 3, relativas a la citada Ley 24/2003.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Tratándose de un supuesto de inconstitucionalidad mediata o indirecta, se debe considerar en primer lugar que la materia se encuentra regulada a nivel europeo en el Reglamento (UE) 1308/2013, del Parlamento Europeo y del Consejo, de 17 de diciembre, por el que se crea la organización común de mercados de los productos agrarios. Esta norma establece en la parte II del anexo VII la definición de vino que ha quedado recogida en el art. 2.2 a) de la Ley 24/2003, disponiendo a continuación que los Estados miembros pueden autorizar la utilización de la palabra vino, en términos similares a los recogidos en la ley canaria. En España, la ley básica estatal ha agotado dicho margen, desechando explícitamente esa posibilidad, pues el art. 2.3 de la Ley 24/2003 cierra la cuestión al disponer que “las definiciones de los productos son excluyentes, no pudiendo utilizarse las respectivas denominaciones más que en los productos que se ajusten estrictamente a la definición”. En la reforma que de esta norma lleva a cabo el Estado en el año 2015 [esto es, tras la aprobación del vigente Reglamento (UE) 1308/2013], la Ley 6/2015, de 12 de mayo, de denominaciones de origen e indicaciones geográficas protegidas de ámbito territorial supraautonómico, opta de nuevo por no ampliar el concepto y lo mantiene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normativa estatal es formalmente básica (disposición final segunda de la propia Ley 24/2003), siéndolo también materialmente, pues se trata de asegurar, mediante una definición expresa, que un concepto que juega un papel central en el mercado vitivinícola no pueda designar realidades diferentes en las distintas partes del Estado. Para alejar ese riesgo, la ley ofrece una descripción precisa de lo que ha de entenderse por vino y fija sus rasgos esenciales y comunes, en beneficio de productores y consumidores, en un mercado transparente y único, dotando de certeza y seguridad el tráfico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denominación como “vino de frutas” de un producto no obtenido de la uva, y su regulación en el art. 19 de la ley recurrida, contraviene el art. 2 de la Ley 24/2003, y adolece de inconstitucionalidad mediata o indirecta por vulnerar la norma básica mediante la que el Estado ha ejercido la competencia reconocida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febrero de 2020, el Pleno, a propuesta de la Sección Segunda, acordó admitir a trámite este recurso de inconstitucionalidad; dar traslado de la demanda y documentos presentados al Congreso de los Diputados, al Senado, al Gobierno de Canarias y al Parlamento de Canarias, al objeto de que, en el plazo de quince días, pudieran personarse en el proceso y formular las alegaciones que estimaren convenientes [art. 34 de la Ley Orgánica del Tribunal Constitucional (LOTC)]; y publicar la incoación del recurso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presidentas del Congreso de los Diputados y del Senado, mediante sendos escritos registrados el 21 y el 27 de febrero de 2020, comunicaron que las mesas de esas cámaras habían acordado darse por personadas en el procedimiento, ofreciendo su colaboración a los efectos de lo previsto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12 de marzo de 2020 tuvo entrada en el registro general del tribunal escrito del Parlamento de Canarias, personándose en el recurso y formulando las alegaciones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constitucional, aun admitiendo que existen determinados fines que legitiman al Estado para ejercer su competencia sobre las bases y coordinación de la planificación general de la actividad económica (art. 149.1.13 CE), ha advertido de que no cabe por esta vía propiciar el vaciamiento de las competencias autonómicas (SSTC 85/2015, de 30 de abril, FJ 2, y 77/2004, de 29 de abril, FJ 4), siendo necesario que la coherencia de la política económica general exija decisiones unitarias [STC 133/1997, de 16 de julio, FJ 4 C)]. Las SSTC 34/2013 y 82/2013 han analizado la incidencia de esta competencia estatal en la Ley estatal 24/2003.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Estado denuncia la contradicción entre la regulación autonómica y la libertad económica debe acompañar la misma de un juicio ponderativo específico (STC 97/2018, de 19 de septiembre, FJ 7). El Estado, al entablar este recurso, omite la aportación de elementos de juicio objetivos suficientes para evidenciar que la medida contemplada en el art. 19 de la ley canaria es inidónea o desproporcionada, en cuanto generadora de una incidencia directa y significativa sobre la actividad económica general, sin aportación de datos empíricos contrastables. El precepto impugnado no produce afectación relevante al principio de unidad de mercado, ni lo distorsiona, ni afecta a la seguridad del tráfico mercantil o a la confianza de los consumidores. El vino de frutas se ha venido elaborando tradicionalmente en Canarias, y es un producto ampliamente conocido por los consumidores canarios; su volumen económico de producción y comercialización es muy poco significativo en comparación con el vino de uva. Por esta razón, no tiene incidencia económica significativa en la actividad económica general, y la defensa de la unidad de mercado no parece fundamentación suficiente para justificar la prevalencia del art. 149.1.13 CE frente a la competencia autonómica en materia de agricultura.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Pudiendo ser el Derecho europeo elemento interpretativo en esta controversia (STC 33/2005, de 17 de febrero, FJ 3), el Reglamento (UE) 1308/2013, anexo VII.II, ofrece la posibilidad —sujeta a la autorización de cada Estado miembro— de que la palabra “vino” pueda referirse también al obtenido tras la fermentación de frutas distintas de la uva, al igual que los precedentes Reglamentos (CE) 1493/1999 y 491/2009.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son los reglamentos comunitarios los que atribuyen al legislador estatal la potestad exclusiva de delimitar la autorización de la palabra “vino”, puesto que esa atribución viene determinada por el orden de competencias interno, en virtud del principio de autonomía institucional. Por otro lado, la Ley 24/2003 no ha recogido una prohibición expresa de considerar “vino” también al obtenido de la fermentación de frutas distintas de la uva.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actividad administrativa de autorización, en los términos de lo permitido por el Reglamento (UE) 1308/2013, es un supuesto de ejercicio de la función ejecutiva en materia de productos agroalimentarios, que corresponde a la Comunidad Autónoma de Canarias, competente para aplicar el Derecho europeo en su territorio, en las materias de su competencia (STC 252/1988, de 20 de diciembre, y art. 197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otras consideraciones a favor de la constitucionalidad de la ley canaria, el Parlamento canario señala que, desde la perspectiva del art. 132.1 EACan, que comprende la competencia exclusiva autonómica sobre la promoción en el mercado interior de los productos agroalimentarios canarios de calidad diferenciada, mantener la posición restrictiva de que solo corresponde al Estado ejercer la posibilidad contemplada en el Reglamento (UE) 1308/2013 impediría el ejercicio de esta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también a la sentencia del Tribunal Superior de Justicia de la Comunidad Valenciana de 18 de mayo de 2017, sobre el “vino de naranja” y el “vino de mandarina”.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Recoge asimismo información sobre vinos procedentes de fermentación de frutas distintas de la uva comercializados en otras comunidades autónomas y otros países de la Unión Europea, frente a los que los elaborados en Canarias se encontrarían en posición de desventaja. La aceptación de la posición restrictiva que defiende el Estado atentaría no solo contra el principio de libertad de empresa en el marco de una economía de mercado (art. 38 CE), sino también contra la libre circulación de mercancías (arts. 26 y 28 a 37 del Tratado de funcionamiento de la Unión Europea), generando una situación asimétrica y absurda en cuanto a la venta del vino de frutas.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Gobierno de Canarias tuvo entrada en el registro general del tribunal el día 1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16 de marzo de 2021,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interpone recurso de inconstitucionalidad contra el art. 19 de la Ley del Parlamento de Canarias 6/2019, de 9 de abril, de calidad agroalimentaria, que regula el “vino de frutas”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operadores podrán hacer uso del término ‘vino’ para la comercialización de productos obtenidos a partir de la fermentación de frutas distintas de la uva siempre que esté acompañada del nombre de la fruta o frutas utilizadas en forma de denominación compuesta. El producto así obtenido deberá tener una graduación alcohólica mínima adquirida del 5 por 100 y máxima de 15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caso de que el producto haya sido obtenido de la fermentación de varias frutas, el nombre de estas deberá aparecer en orden descendente en función de la proporción utilizada y en caracteres del mismo tamaño.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poder hacer uso de dicho término, los operadores que a la entrada en vigor de esta ley figuren inscritos en el registro de embotelladores y envasadores de vino y bebidas alcohólicas deberán comunicar previamente a la autoridad competente los productos en los que pretendan utilizar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menciones aplicadas al vino recogidas en la base de datos electrónica E-Bacchus de la Unión Europea y en la reglamentación comunitaria del sector vitivinícola no podrán ser utilizadas, en ningún caso, para la identificación o comercialización del vino de fruta”.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este artículo incurre en inconstitucionalidad mediata o indirecta, por vulneración de lo dispuesto en el art. 2, apartados 2 e) y 3, de la Ley 24/2003, de 10 de julio, de la viña y del vino, normativa básica dictada por el Estado al amparo de la competencia conferida por el art. 149.1.13 CE, en materia de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que han quedado resumidas en los antecedentes, el Parlamento de Canarias ha instado la desestimación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 Canarias se personó en el procedimiento y formuló alegaciones mediante escrito que tuvo entrada en el registro general de este tribunal el día 1 de julio de 2020, superado el plazo de quince días que le había sido concedido mediante providencia de 11 de febrero de 2020, que le fue notificada con fecha 20 de febrero. El plazo venció por tanto el día 12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lo que sostiene en su escrito el Gobierno de Canarias, no resulta de aplicación el acuerdo de 16 de marzo de 2020, del Pleno del Tribunal Constitucional, en relación con la suspensión de los plazos procesales y administrativos durante la vigencia del Real Decreto 463/2020, de 14 de marzo, ni el posterior acuerdo de 6 de mayo de 2020, del Pleno del Tribunal Constitucional, sobre cómputo de los plazos procesales y administrativos que fueron suspendidos por el primer acuerdo citado. Ninguno de estos acuerdos permite entender que la suspensión de plazos procesales y las reglas para su cómputo alcancen a los ya precluidos, como es el caso. En consecuencia, no procede tener por personado al Gobierno de Canarias ni por formuladas sus alegaciones, al resultar su escrito manifiestamente extemporáneo [en el mismo sentido, STC 236/2012, de 19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estatal 24/2003 tiene por objeto la ordenación básica, en el marco de la normativa de la Unión Europea, de la viña y del vino, así como su designación, presentación, promoción y publicidad (art. 1.1). El art. 2, dedicado a las definiciones, recoge en sus apartados 2 e) y 3 las normas que, según el recurso, son vulneradas por el precepto de la ley canaria objeto de impugnación. Concretamente, el apartado 2 e) define el “vino” como “el alimento natural obtenido exclusivamente por fermentación alcohólica, total o parcial, de uva fresca, estrujada o no, o de mosto de uva”, y el apartado 3 precisa que “[l]as definiciones de los productos son excluyentes, no pudiendo utilizarse las respectivas denominaciones más que en los productos que se ajusten estrictamente a la definición”.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constitucionalidad mediata requiere, en primer lugar, verificar si estas disposiciones cumplen con los requisitos formales y materiales propios de la normativa básica. Su carácter formalmente básico está recogido en el apartado 2 a) de la disposición final segunda de la Ley 24/2003. Desde el punto de vista material, es obligado remitirse a la doctrina recogida en las SSTC 34/2013, de 24 de febrero, y 82/2013, de 11 de abril, que examinaron la constitucionalidad de otros preceptos de la Ley 24/2003, enmarcando la controversia planteada entonces en algunas consideraciones generales que resultan plenamente aplicables a la cuestión que aquí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la STC 34/2013 afirma que “la Ley de la viña y del vino, apreciando la importancia que tiene en España el cultivo, la elaboración y la comercialización de vino, persigue establecer criterios generales de ordenación del entero sector vitícola orientados a evitar que la divergencia radical entre las distintas normativas autonómicas obstaculice gravemente la unidad de mercado o, introduciendo confusión, haga ineficaz la intervención pública en ese ámbito de la economía” (FJ 5). En la misma línea de razonamiento, señala que “en virtud de los datos que suministra el apartado IV del preámbulo de la Ley de la viña y del vino, constituye sin duda un hecho económico relevante en la economía nacional. La STC 118/1996, de 27 de junio, aunque refiriéndose al sistema de transporte, reconoce que ‘lo que parece claro es que, si es un hecho económico de gran importancia, la posibilidad de que el Estado, para ajustarlo al objetivo constitucionalmente legítimo de llevar a cabo una política económica común (STC 96/1984, de 19 de octubre) y para adecuarlo a las exigencias de unidad de la economía nacional que requiere un mercado único (STC 64/1990, de 5 de abril), establezca criterios generales a tener en cuenta a la hora de efectuar el desarrollo normativo con tal de que se limiten a asegurar en ese sector específico la unidad de los principios básicos del orden económico, es constitucionalmente legítima’”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así que el Estado dispone de competencia, ex art. 149.1.13 CE, para dictar normas básicas en este subsector de la economía, a la hora de proyectar esta doctrina sobre los apartados 2 e) y 3 del art. 2 de la Ley 24/2003, que respectivamente definen y delimitan el objeto regulado, procede recordar que, según la STC 40/1998, de 19 de febrero, “lo relevante desde el punto de vista del respeto del bloque de la constitucionalidad no son tanto las definiciones en sí mismas cuanto las consecuencias concretas que de ellas se derivan” (FJ 43), “correspondiendo, eso sí, a este tribunal garantizar que dichas definiciones no impliquen en la práctica una alteración del sistema de distribución de competencias, ya sea porque resulten completamente artificiales, no respetando la imagen que de los distintos conceptos existe en la conciencia social, ya sea porque a tales conceptos se anuden consecuencias no queridas por el constituyente”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como es el caso, la definición de lo que es el “vino” y, por vía de reserva de denominación, de lo que no lo es, entronca con la competencia estatal para dictar normativa básica, sin introducir conceptos artificiales o ajenos a la imagen existente en la conciencia social —como pone de manifiesto la apretada síntesis histórica recogida en el apartado I del preámbulo de la Ley 24/2003—, va de suyo que esa competencia comprende la de precisar su objeto, pues admitir lo contrario significaría que el propio contenido material de la normativa básica estatal quedaría en la práctica privado de contenido jurídico, y aún de sentido lógico. Así se ha reconocido por este tribunal al confirmar el carácter materialmente básico de definiciones recogidas en otros sectores de la normativa básica, por ejemplo, en las SSTC 128/1999, de 1 de julio, FJ 16; 14/2004, de 13 de febrero, FJ 12; 18/2011, de 3 de marzo, FJ 18, y 158/2011, de 19 de octubre,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queda enervada por la fórmula abierta utilizada en la parte II del anexo VII del Reglamento (UE) 1308/2013, del Parlamento Europeo y del Consejo, de 17 de diciembre, por el que se crea la organización común de mercados de los productos agrarios, que permite a los Estados miembros autorizar que, en determinadas condiciones, la palabra “vino” pueda referirse también al obtenido tras la fermentación de frutas distintas de la uva. Como se razona en la ya citada STC 34/2013, “que la normativa europea condicione y en buena parte absorba la planificación general de la economía española en el sector del vino, lejos de justificar que al Estado no le resta espacio para dictar normas que realicen esa función, supone el reconocimiento de que en esa materia pueden establecerse reglas que, con el objeto de diseñar una planificación general del sector, señalen las líneas directrices y criterios generales que han de presidir su organización, así como preverse medidas instrumentadas a la realización de aquellos. Además, dado que la intervención del Derecho comunitario europeo no altera el reparto constitucional de competencias [STC 99/2012, de 11 de febrero, FJ 2 b)], dicha planificación general del sector del vino corresponde, por efecto de la atribución que se sigue del art. 149.1.13 CE, al Estado, que podrá limitarse a trasponer la parte de aquél que contenga esa planificación general o, respetándola, optar por una ordenación del sector más intensa, siempre, claro está, sin ir más allá de los límites del título competencial que le habilita”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razonado, el Estado dispone de competencia para adoptar la decisión de mantener o modificar la definición de vino y la reserva de denominación contenida en la normativa básica, sin que corresponda a este tribunal examinar la oportunidad o el acierto de la medida legal para decidir si es la más adecuada o la mejor de las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precepto impugnado no es, como sostiene el Parlamento de Canarias, manifestación del ejercicio de la función ejecutiva en materia de productos agroalimentarios —aunque es claro que, si así fuera, no sería constitucionalmente admisible que tal función ejecutiva se ejerciera contraviniendo lo establecido por las normas básicas dictadas por el Estado—. En cualquier caso, las determinaciones que recoge el art. 19 de la Ley canaria objeto de este proceso constitucional tienen indiscutible naturaleza normativa, al regular con carácter general y abstracto los términos en los que se autoriza la utilización de la denominación “vino” para productos de la fermentación de frutas distintas de la uva, su graduación alcohólica mínima y máxima, o la comunicación a la autoridad competente, entre otros aspectos. Son disposiciones dirigidas al conjunto de los operadores del sector, que no agotan su eficacia en la aplicación a un caso concreto. El art. 197.1 EACan atribuye a la Comunidad Autónoma de Canarias el desarrollo, transposición y ejecución del Derecho de la Unión Europea en el ámbito de sus competencias, y en el sector agroalimentario, que comprende el subsector vitivinícola, la competencia autonómica halla su límite en el respeto a lo establecido por el Estado en el ejercicio de las competencias que le atribuye el art. 149.1.13 CE (art. 130.1 EACan). La doctrina constitucional ha reiterado que, sobre la ejecución del Derecho europeo, «las normas que han de servir de pauta para la resolución de las controversias competenciales son exclusivamente las de Derecho interno que establecen el orden de distribución de competencias entre el Estado y las comunidades autónomas, ya que, “como este tribunal ha declarado en anteriores ocasiones (SSTC 252/1988, 64/1991, 76/1991, 115/1991 y 236/1991),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(por todas, SSTC 148/1998, de 2 de julio, FJ 4, y STC 22/2012, de 16 de febrero, FJ 5). En otras palabras, ‘no existe una competencia específica para la ejecución del Derecho comunitario’ (STC 141/1993)” (STC 102/1995, de 26 de junio, FJ 14)» (STC 54/2018, de 24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estamos ante un supuesto similar al examinado por la STC 97/2018, de 19 de septiembre, como alega el Parlamento de Canarias. Aquí no se denuncia una invasión competencial fundada en la eventual contradicción entre una regulación autonómica que impone determinados límites a la libertad económica y la exigencia básica de proporcionalidad recogida con carácter genérico en el art. 5.2 de la Ley 20/2013, de 9 de diciembre, de garantía de la unidad de mercado, denuncia que ha de venir “acompañada de un juicio ponderativo específico —ilustrado, en la medida de lo posible, con datos y análisis económicos rigurosos— sobre la idoneidad, necesidad y proporcionalidad de la restricción impugnada” [FJ 7 d)]. En este recurso de inconstitucionalidad la denuncia se funda en la vulneración de normas básicas específicas dictadas sobre la misma materia por el Estado al amparo de la competencia que le atribuye el art. 149.1.13 CE, y que constituyen el parámetro del juicio de constitucionalidad directa o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Confirmado, por tanto, el carácter materialmente básico de los apartados 2 e) y 3 del art. 2 de la Ley estatal 24/2003, es claro que el precepto impugnado, al autorizar la denominación de “vino” para la comercialización de productos obtenidos a partir de la fermentación de frutas distintas de la uva, entra en contradicción efectiva e insalvable por vía interpretativa con esas disposiciones básicas, particularmente con el art. 2.3, que establece el carácter excluyente de las definiciones y prohíbe que se utilicen esas denominaciones en productos que no se ajusten estrictamente a la definición recogida en este caso en el art. 2.2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19 de la Ley de la Comunidad Autónoma de Canarias 6/2019 es inconstitucional y nulo por contravenir lo establecido por los apartados 2 e) y 3 de la Ley 24/2003, de 10 de julio, de la viña y el vino, vulnerando con ello la competencia que el art. 149.1.13 CE atribuye al Estado en materia de bases y coordinación de la planificación general de la actividad económica.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el recurso de inconstitucionalidad núm. 440-2020 y, en consecuencia, declarar la inconstitucionalidad y nulidad del art. 19 de la Ley de la Comunidad Autónoma de Canarias 6/2019, de 9 de abril, de calidad agroalimentaria.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