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10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Encarnación Roca Trías, presidenta, y los magistrados, don Juan Antonio Xiol Ríos y don Pedro José González-Trevijano Sánchez, en el recurso de amparo núm. 4886-2019, promovido por doña María Mercedes Rivero Bartolomé,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Mercedes Rivero Bartolomé, representada por la procuradora de los tribunales doña Yolanda Ortiz Alfonso, bajo la dirección del letrado don Rodrigo Royo López, interpuso recurso de amparo contra el auto del Juzgado de Primera Instancia e Instrucción número 2 de Tarancón núm. 42/2019, de 18 de junio de 2019, pronunciado en el procedimiento de ejecución hipotecaria núm. 137-2011, mediante escrito registrado en este tribunal el 31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aduce en su recurso la vulneración del derecho a la tutela judicial efectiva (art. 24.1 CE), en su vertiente de derecho de acceso a la jurisdicción, ya que el órgano judicial había procedido a la notificación edictal de su condición de codemandada en el procedimiento de referencia sin haberse desarrollado la actividad judicial necesaria para la localización de un domicilio de notificación alternativo.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mediante providencia de 4 de junio de 2020, acordó no admitir el recurso a trámite, con arreglo a lo previsto en el art. 50.1 a) de la Ley Orgánica del Tribunal Constitucional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9 de julio de 2020, interpuso recurso de súplica contra dicha providencia, solicitando que fuera dejada sin efecto la inadmisión por la causa prevista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argumenta que la vulneración aducida del art. 24.1 CE por la defectuosa notificación edictal no es manifiestamente inexistente una vez constatado en las actuaciones que el órgano judicial solo hizo un intento de notificación en la finca hipotecada previa a la notificación edictal sin desarrollar actividad alguna para localizar un domicilio de notificación alternativo y sin atender a la circunstancia de que en las propias actuaciones figuraba un domicilio a través de que se estaba en comunicación con la entidad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Sección Tercera del tribunal, por diligencia de ordenación de 10 de julio de 2020, acordó dar traslado del recurso de súplica para alegaciones a la demandante, quien por escrito registrado el 22 de julio de 2020 se adhirió a los argumentos esgrimidos y a las peticiones contenidas en dicho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y de las actuaciones recibidas, a la vista de las alegaciones del Ministerio Fiscal expuestas en el recurso de súplica y de la jurisprudencia de este tribunal sobre el particular, pone de relieve que no puede concluirse que las vulneraciones aducidas por la demandante de amparo sean manifiestamente inexistentes.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 estimación del recurso de súplica interpuesto, procede dejar sin efecto la providencia impugnada y reponer las actuaciones a ese momento procesal para que se tome una nueva decisión sobre la 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4 de junio de 2020,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