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don Cándido Conde-Pumpido Tourón y la magistrada doña María Luisa Balaguer Callejón, en el recurso de amparo núm. 1407-2020, interpuesto por don Josep Rull i Andreu,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marzo de 2020, tuvo entrada en el registro general de este Tribunal Constitucional un escrito del procurador de los tribunales don Aníbal Ruiz Huidobro, actuando en representación de don Josep Rull i Andreu, por el que interpuso recurso de amparo contra la sentencia núm. 459/2019, de 14 de octubre de 2019, dictada por la Sala Segunda del Tribunal Supremo en la causa especial 20907-2017, y contra el auto de 29 de enero de 2020, dictado por la misma Sala, el cual desestimó el incidente de nulidad promovido contra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otrosí digo primero del escrito de demanda se solicitó la suspensión de las resoluciones judiciales impugnadas, por la vía del art. 56.6 de nuestra Ley Orgánica reguladora, 2/1979, de 3 de octubre (LOTC). La urgencia excepcional alegada se rechazó en la providencia de admisión a trámite del recurso que dictó el Pleno de este tribunal el 6 de mayo de 2020, acordándose en cambio la apertura de la pieza ordinaria de suspensión, la cual, una vez tramitada, fue resuelta por ATC 59/2020, de 17 de junio, en el sentido de denegar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día 13 de enero de 2021, el demandante interesó, al amparo de lo dispuesto en el art. 56.4 LOTC, una “[n]ueva solicitud de suspensión de los efectos de la sentencia condenatoria” de fecha 14 de octubre de 2019, con la consiguiente puesta en libertad. Funda esa solicitud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pasado 7 de enero de 2021, el Tribunal de Apelación de Bruselas, acordó rechazar la entrega a España de don Lluis Puig, ex consejero de Cultura de la Generalitat de Cataluña, a quien las autoridades españolas reclaman por la presunta comisión de un delito de malversación de caudales público. Según indica el recurrente, el citado tribunal belga consideró que el Tribunal Supremo “carecía de competencia para emitir la eurorden contra el Sr. Puig”; y que esa decisión había adquirido firmeza, al renunciar la fiscalía belga a interponer recurso de casación. Señala el recurrente que la justicia belga ha considerado que, de haber aceptado la ejecución de la orden de detención europea, se “perjudicarían los derechos fundamentales de don Lluis Puig consagrados en el art. 6 CEDH”, en el entendimiento de que no existe base legal explícita para ampliar la competencia del Tribunal Supremo para juzgar a los coacusados, con fundamento en la estrecha conexión entre los delitos imputados.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sostiene que, al dictar la orden de detención y entrega mencionada, el Tribunal Supremo vulneró el derecho fundamental al juez ordinario predeterminado por la ley (art. 24. CE); y añade que el referido Tribunal de Apelación de Bruselas denegó la “extradición” (sic), al entender que se le había privado del derecho fundamental al juez natural, por no haber conocido de los hechos los tribunales radicados en Cataluña (foro natural), al haberse atribuido la competencia al Tribunal Supremo mediante una forzada e irrazonable interpretación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el tribunal belga estimó que, de haber ejecutado la orden de detención y entrega, “habría un riesgo elevado de vulneración del derecho a la presunción de inocencia”, por el constante goteo “de presunciones de culpabilidad” respecto de los acusados, efectuadas tanto por miembros de la judicatura como por otros cargos públicos, con anterioridad a la celebración del juicio oral. Esa vulneración, indica el demandante, fue denunciada en el procedimiento judicial y en el recurso de amparo interpuesto ante el Tribunal Constitucional; y ha sido también advertida por el Tribunal de Apelación de Bruselas, puesto que “ha fundamentado en ello, en buena medida, la denegación de la orden de detención y entrega del don Lluís Puig”. Finalmente, concluye que esas vulneraciones solo pueden ser subsanadas mediante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un segundo apartado alega la vulneración del art. 6 del Convenio europeo de derechos humanos (CEDH), por las “nuevas filtraciones” sobre las deliberaciones para la resolución de los recursos de amparo contra la sentencia condenatoria dictada por el Tribunal Supremo. Tras señalar que el secreto de las deliberaciones de un tribunal se configura como un presupuesto básico de la imparcialidad e independencia judicial y como una garantía básica del procedimiento penal, añade que el constante “goteo de filtraciones” se ha trasladado también al Tribunal Constitucional. Ejemplo de ello es la noticia publicada en el diario “El Español”, el día 12 de enero de 2021, referida a que el magistrado ponente del recurso de amparo interpuesto por doña Meritxell Borrás propone respaldar al Tribunal Supremo como órgano competente para juzgar a los acusados de promover el “procés”, ya que rechaza la vulneración del derecho al juez ordinario predeterminado por la ley; lesión esta que el demandante también invocó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afirma que la garantía del secreto de las deliberaciones parece más “una utopía que una realidad”, lo que supone una vulneración de los arts. 24 CE y 6 CEDH, lo que debería dar lugar a una declaración expresa en ese sentido y la consiguiente nulidad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el recurrente expresa los motivos por los que interesa su inmediata puesta en libertad, pese a que el Pleno de este Tribunal Constitucional ya le denegó esa petición. Al respecto, sostiene que concurre un hecho nuevo que justifica la reiteración de su solicitud; concretamente, la denegación por la justicia belga de la detención y entrega del Sr. Puig, hecho que “incide de lleno en varios de los motivos de la demanda de amparo”. Y añade que la petición de libertad se funda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demandante está a punto de cumplir tres de los diez años y seis meses de prisión a que ha sido condenado. Por ello, si no se suspende la ejecución, la eventual estimación del recurso de amparo se produciría cuando el demandante habría cumplido una parte importante de las penas impuestas, dado que el tiempo en que se tardaría en resolver el recurso de amparo sería previsiblemente superior a dos años, vista la extensión de los motivos planteados. Así pues, de no accederse a la suspensión que se interesa, el recurso de amparo perdería buena parte de su razón de ser y también resultarían afectados sus derechos políticos, al verse impedido de presentar su candidatura en procesos electorales futuros.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término, sostiene que la concesión de la medida cautelar no ocasionaría perjuicio grave a ningún interés constitucionalmente protegido. Añade que ya ha disfrutado de permisos de salida y le ha sido aplicado el tercer grado penitenciario, sin que haya acontecido ninguna incidencia ni afectación del orden público. Por ello, afirma que “no resulta esperable a estas alturas ninguna conducta de sustracción de la acción judicial”, más aún si se tiene en cuenta el evidente arraigo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También pone de manifiesto que, al afectar el delito por el que fue condenado a bienes jurídicos colectivos, la concesión de la suspensión no afectaría a ninguna persona concreta; y añade que el recurrente “no tiene pendiente ningún tipo de responsabilidad civil derivada de las resoluciones aquí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fecha 18 de enero de 2021, la secretaría de justicia del Pleno de este tribunal acordó, conforme a lo dispuesto en el art. 56.4 LOTC, dar traslado de la solicitud del escrito presentado, por plazo común de tres días, al Ministerio Fiscal y demás partes personadas, a fin de que aleguen lo que estimen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enero de 2021 presentó sus alegaciones la abogacía del Estado. Tras resumir los antecedentes que consideró relevantes y sintetizar el contenido del escrito por el que se promueve este incidente, afirma que la resolución del tribunal belga no constituye una circunstancia sobrevenida a los efectos del art. 57 LOTC, requisito que considera necesario para proceder a una eventual modificación de lo resuelto en el ATC 59/2020. Además, conforme a lo establecido en los AATC 22/2018, 38/2018 y 131/2018, un pronunciamiento de este tribunal que modificase la denegación de la suspensión, a partir de la valoración de la posible vulneración del derecho al juez ordinario predeterminado por la ley o del derecho a la presunción de inocencia, supondría llevar a cabo un juicio anticipado sobre “el fondo de un litigio pendiente, que debe ser resuelto en la oportuna sentencia y no ahora en un auto relativo a la posible revisión de la suspensión no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filtraciones a que se refiere el demandante, la abogacía del Estado estima con cita de la STC 69/2001, de 17 de marzo, que la garantía de imparcialidad, en su vertiente subjetiva, solamente podría verse afectada en el caso de que se acreditara que la opinión de alguno de los integrantes del tribunal esté condicionada por los hechos o circunstancias externas a la propia deliberación o, en su caso, que la filtración fuera encaminada a modificar lo previamente decidido. Y el demandante no alega que se haya producido ninguna de estas circunstancias. Por todo ello, la abogacía del Estado se opone a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25 de enero de 2021, el partido político Vox formuló oposición a la pretensión de suspensión cautelar. Refiere que la medida que se interesa ya fue resuelta en su día, en sentido desestimatorio, citando al efecto el ATC 64/2020, de 17 de junio, recaído en el recurso de amparo núm. 1638-2020 promovido por don Joaquim Forn i Chiarello. Añade que la decisión adoptada por el tribunal belga “queda extra muros del procedimiento, en buena medida porque la justicia belga no tiene competencia alguna sobre el procedimiento judicial que se analiza” y porque la supuesta “vulneración de derechos” se refiere a un fugado que aún tiene que comparecer ante la justicia. Esta situación nada tiene que ver con la del recurrente, que ha sido condenado por sentencia firme, por lo que se trata de dos situaciones que no son comparables. Por ello, el tratamiento que debe dispensarse al presente caso debe ser diferente, debiéndose resaltar que en la solicitud no se indican los derechos vulnerados “ni se prueba la posible irreparabilidad” de los mismos, condición necesaria para poder otorgar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sostiene que en esta pieza no proceden las alegaciones sobre las supuestas filtraciones de información u opiniones, sobre todo porque vienen referidas al recurso de amparo interpuesto por doña Meritxell Borrás.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pone de relieve que no concurren los requisitos para acordar la puesta en libertad del demandante. Sobre este particular, señala que este último no aclara cuál es la afectación a los derechos fundamentales ni su posible reparación. Rechaza que se haya producido vulneración de derecho fundamental alguno, puesto que la aplicación de la ley no puede vulnerar derechos, por mucho que se quiera “disfrazar de una condena por motivos políticos”. Y en relación con las circunstancias concretas por las que aquel reitera la solicitud de medida cautelar, se remite al ATC 57/2020 dictado en el recurso de amparo núm. 1403-2020 promovido por don Jordi Turull i Negre, y transcribe parte de la fundamentación jurídica del citado auto, en la que se funda la desestimación de la inicial solicitud de suspensión cautelar de aquel recurrente. En cambio, en este escrito de alegaciones nada se dice del ATC 59/2020, de 17 de junio, que denegó la suspensión instada por el demandante del presente recurso de amparo núm. 1407-2020, como se indicó en el antecedente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9 de febrero presentó sus alegaciones el fiscal, quien interesó la desestimación de lo interesado. Tras resumir los términos de la pretensión del recurrente y recordar que, por ATC 59/2020, de 17 de junio, ya fue denegada la suspensión de los efectos de la sentencia condenatoria, manifiesta que la petición de aquel se sustenta en la concurrencia de “un hecho nuevo”, que surge a raíz de la resolución del Tribunal de Apelación de Bruselas, que denegó la entrega a España de don Lluís Puig.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demandante funda su petición en la apariencia de buen derecho que infiere del contenido de la resolución del tribunal belga. Pero como se indica en el FJ 2 del ATC 128/2018,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recurrente pretende que, con apoyo en la resolución del tribunal belga, se dicte un pronunciamiento sobre el fondo respecto de alguno de los motivos alegados en la demanda de amparo, tales como la lesión del derecho al juez ordinario predeterminado por la ley o del derecho a la presunción de inocencia. Y al respecto señala que, al margen “del valor que quiere darse a una resolución dictada por un tercer país en el marco del cumplimiento de una orden europea de detención y entrega”, en el ATC 57/2019, FJ 5 b) [cita en realidad el ATC 57/2020, FJ 5 b), dictado en el recurso de amparo núm. 1403-2020] ya se descartó la posibilidad de formular un pronunciamiento anticipado, en el incidente de suspensión, de lo que constituye el objeto del recurso de amparo. A su vez, afirma que las referencias a las filtraciones periodísticas que el demandante efectúa también son completamente ajenas al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restantes alegaciones del recurrente, el fiscal considera que no presentan ninguna novedad respecto de las invocadas en su primera petición de suspensión, las cuales fueron desestimadas en el “ATC 57/2019, de 17 de junio” (ahora quiere decir, ATC 59/2020, de 17 de junio, recaído en el presente recurso de amparo), cuya argumentación sintetiza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17 de febrero de 2021, el representante procesal del aquí recurrente presentó escrito de alegaciones por el que constata que ha “transcurrido prácticamente un mes” desde que se dictó la diligencia de ordenación antedicha de 18 de enero de 2021 que acordaba dar traslado a las partes personadas y al Ministerio Fiscal de la nueva solicitud de suspensión de la sentencia condenatoria, “sin que a día de hoy se haya evacuado el traslado conferido salvo error u omisión”. Por tal razón interesa “que se proceda a resolver de manera urgente sobre la medida cautelar interesada de conformidad con lo dispuesto en los artículos 24 CE y 6 CEDH”, y luego en el suplico, que se resuelva “a la mayor brevedad”.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dicho escrito dejó constancia la diligencia de la secretaría de justicia del Pleno, de 18 de febrero de 2021, quedando unido a las actuaciones y pasando a dar cuenta al magistrado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25 de febrero de 2021 consta diligencia de la secretaría de justicia del Pleno, del siguiente tenor: “Para hacer constar que, habiéndose dictado en la pieza de recusación dimanante del recurso de amparo núm. 5382-2019 auto de fecha 16 de febrero de 2021, por el que se acuerda aceptar la abstención formulada por el magistrado don Antonio Narváez Rodríguez para el conocimiento del presente recurso de amparo y archivar la pieza separada de recusación dimanante del mismo, se une a las actuaciones copia del citado auto, junto con el escrito de abstención del señor Narváez, y se procede a su notificación a las partes. Así mismo, se lleva copia del auto y del escrito tanto a la pieza separada de recusación como a la pieza separada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dilucidar si concurren los requisitos necesarios para modificar la denegación de la suspensión de la sentencia condenatoria dictada contra el recurrente; denegación que fue acordada en el ATC 59/2020,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recurrente ha fundamentado esta nueva solicitud de suspensión de la ejecución en el art. 56.4 LOTC, tal pretensión se debe encuadrar en lo dispuesto en art. 57 LOTC, conforme al cual “[l]a suspensión o su denegación [de los efectos de la sentencia]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en relación con estas solicitudes de modificación, que su posibilidad queda condicionada a la concurrencia de circunstancias sobrevenidas o previas que no pudieron ser conocidas al tiempo de sustanciarse, y que el mero transcurso del tiempo y la influencia que ello tendría sobre el cumplimiento de la pena privativa de libertad no pueden ser considerados como circunstancias relevantes a esos efectos, pues el cumplimiento de la pena con el transcurso del tiempo es la regla, si la pena no se suspende (AATC 125/2014, de 5 de mayo, FJ 2, y 433/2004, 15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del demandante presenta varios aspectos diferenciados: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primera parte guarda relación con las consecuencias que extrae de la denegación por la autoridad judicial belga de la orden europea de detención y entrega relativa a don Lluis Puig; principalmente, la evidencia de la vulneración del derecho al juez ordinario predeterminado por la ley, que también denunció en su demanda de amparo, así como la lesión del derecho a la presunción de inocencia por el constante incumplimiento del secreto de las deliberaciones que, en la actualidad, también acontece en el seno del Tribunal Constitucional, en los términos reflejados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este primer bloque argumental basta decir que, de conformidad con la doctrina constitucional, la temática que suscita el demandante resulta ajena a las circunstancias determinantes para dirimir sobre la concesión de la medida cautelar interesada, por lo que tampoco pueden ser consideradas circunstancias sobrevenidas a los efectos previstos en el art. 57 LOTC. Sin perjuicio de que lo acordado por el tribunal belga, en modo alguno vincula o condiciona a este tribunal para la resolución de los recursos de amparo que traen causa de la sentencia condenatoria cuya suspensión se interesa, cabe añadir que las consecuencias que el demandante aduce atañen a lesiones ya denunciadas en la demanda, por lo que en puridad constituyen el fondo del presente recurso. Siendo así, basta con remitirnos a la doctrina reflejada en el FJ 5 b) del ATC 59/2020, de 17 de junio, en el que reiteramos que la apariencia de buen derecho o fumus boni iuris no es un factor a tener en cuenta de cara a resolver sobre la suspensión cautelar, pues ello supondría anticipar una respuesta provisional sobre el resultado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denuncia relativa a la ruptura del secreto de las deliberaciones, dadas las constantes filtraciones a que se alude, carece de relevancia a efectos de dilucidar sobre la medida cautelar solicitada. En el contexto propio del incidente de suspensión, los extremos denunciados son completamente ajenos a los que deben tenerse en cuenta para resolver sobre lo pedido, pues no guardan relación con el aspecto al que de manera primordial hay que atender; esto es, la necesidad de salvaguardar la efectividad de la resolución que ponga fin al recurso de amparo, evitando que la ejecución del acto o sentencia recurridos pueda hacerle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el recurrente enumera las razones por las que reitera la concesión de la medida cautelar, que ya interesó anteriormente y que fue desestimada por este tribunal. En lo esencial, esos motivos ya se plantearon en la petición inicial de suspensión de la sentencia condenatoria y fueron refutados en el ATC 59/2020 ya mencionado; y al ser nuevamente traídos a colación, la respuesta que cumple dar no varía, como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al tiempo transcurrido desde el pasado 17 de junio de 2020, fecha en que se denegó la primera suspensión solicitada, las razones entonces dadas para descartar que el tiempo de sustanciación del recurso de amparo podría provocar la pérdida de la finalidad del recurso de amparo (ATC 59/2020, FJ 4) permanecen incólumes. Aun cuando se tenga en cuenta la privación de libertad ya cumplida y el tiempo que se vaya a consumir hasta la resolución del recurso de amparo, cuya cuantificación por el recurrente es una mera suposición, lo cierto es que, dada la gravedad de la pena impuesta (diez años y seis meses de prisión), no se constata el riesgo de pérdida de finalidad del recurso de amparo que el demandante advierte, puesto que la pena de prisión que aun restaría por cumplir supera claramente los cinco años; límite temporal que como regla general ha establecido nuestra doctrina para acceder a la suspensión cautelar de las penas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debemos dar por reproducida la argumentación expresada en el auto antes mencionado, a fin de rechazar la suspensión cautelar de la pena de inhabilitación absoluta, [concretamente, en el fundamento jurídico 5 a)]. Entonces pusimos de relieve que la extensión temporal de esa pena es tal, que la ejecución de la misma mientras se sustancia el presente recurso no determina la pérdida de su finalidad, amén de constatar la prevalencia del interés general que comporta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reiteramos las razones reflejadas en el fundamento jurídico 4 del ATC 59/2020, acerca de la relevancia del riesgo de eludir la acción de la justicia. Afirmamos entonces que, de concurrir ese peligro, necesariamente debería denegarse la suspensión cautelar de la pena privativa de libertad. Pero también sostuvimos que la ausencia de ese riesgo no determina, de por sí, que la suspensión deba otorgarse pues “[…]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 Así pues, la inexistencia del riesgo de fuga debe ser contemplada como una condición necesaria, pero no suficiente por sí sola, pues conforme a la doctrina establecida por este tribunal también deben concurrir los restantes requisitos”.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