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5128-2019, promovido por la entidad Penrei Inversiones, S.L., contra el auto del Juzgado de Primera Instancia e Instrucción núm. 5 de Lorca de 25 de junio de 2019, por el que se desestima el recurso de reposición interpuesto contra el auto de 21 de septiembre de 2018, por el que se inadmite el escrito de oposición a la ejecución hipotecaria en el procedimiento de ejecución hipotecaria núm. 378-2018. Ha comparecido la entidad Pera Assets Designated Activity Company.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Penrei Inversiones, S.L., representada por la procuradora de los tribunales doña Blanca Berriatua Horta, y bajo la asistencia de la letrada doña Anju Nirmala Benavent Rodríguez, interpuso recurso de amparo contra las resoluciones judiciales que se mencionan en el encabezamiento de esta sentencia mediante escrito registrado en este tribunal el 9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promovió un procedimiento de ejecución hipotecaria frente a las sociedades Euroinversiones Inmobiliarias Costa Sur, S.L., en calidad de prestataria e hipotecante, y Penrei Inversiones, S.L., en calidad de titular registral de un derecho de uso y disfrute sobre el inmueble hipotecado, que fue tramitado por el Juzgado de Primera Instancia e Instrucción núm. 5 de Lorca con el núm. 378-2018.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acordó despachar ejecución mediante auto de 14 de junio de 2018 frente a las sociedades demandadas. El citado auto y el decreto de la misma fecha que le sigue, acordando las medidas de ejecución y el requerimiento de pago al ejecutado, fueron comunicados a las citadas entidades a través de la sede judicial electrónica el día 18 de junio de 2018; fecha en la que se recibió en la dirección electrónica habilitada de ambas entidades un mensaje del servicio de notificaciones electrónicas de la Fábrica Nacional de Moneda y Timbre con el aviso de que hasta el 3 de agosto siguiente tendrían disponible una notificación relacionada con el procedimiento 378-2018, a la que, para que constase como leída, debía acceder a través de un enlace adjunto. La ejecutada accedió a dicho enlace el 25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demandante de amparo presentó el 31 de julio de 2018 escrito de oposición a la ejecución despachada. Por auto de 21 de septiembre de 2018, el órgano judicial acordó la inadmisión de la oposición formulada por entender extemporánea su presentación, tras tomar como fecha de emplazamiento el 18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demandante de amparo interpuso recurso de reposición, alegando que la notificación y requerimiento no habían de entenderse realizadas el 18 de junio de 2018, sino el 25 de julio siguiente, y que la comunicación remitida a través de la dirección electrónica habilitada no constituye sino un aviso de puesta a disposición para descarga de su contenido durante un plazo determinado; poniendo de manifiesto que, entenderlo de otro modo, además de infringir los arts. 135, 152, 160 y 162 de la Ley de enjuiciamiento civil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25 de junio de 2019 con fundamento en que las entidades ejecutadas tienen la condición de persona jurídica y, por tanto, están obligadas a relacionarse con la administración de justicia por medios electrónicos, de conformidad con lo previsto en la disposición transitoria cuarta de la Ley 42/2015, de 5 de octubre, de reforma de la Ley de enjuiciamiento civil, así como en los arts. 14.2 a) de la Ley 39/2015 del procedimiento administrativo común de las administraciones públicas, y 273.3 LEC. Según el auto, el art. 162.2 LEC impone que la comunicación electrónica surte efecto trascurridos tres días desde que fue efectuada sin que el destinatario acceda a su contenido. Concluye que, al constar que la notificación se puso a disposición de las ejecutadas el 18 de junio de 2018, la presentación del escrito de oposición el 31 de julio de 2018 se produjo fuera del plazo legalmente establecido en el art. 556.1 LEC, esto es, más allá de los diez días siguientes al de la notificación del auto despachando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las resoluciones judiciales impugnadas han vulnerado su derecho a la tutela judicial efectiva sin indefensión (art. 24.1 CE), al haberse efectuado su emplazamiento como ejecutada a través de un correo electrónico remitido por un servicio de notificaciones electrónicas y no mediante entrega de la documentación correspondiente en papel en la sede de su domicilio social; y ello pese a que esa comunicación fue el primer emplazamiento en la causa. Además, señala que, en todo caso, siguió las indicaciones que le facilitó la comunicación electrónica, de manera que accedió al contenido de la notificación dentro del plazo fijado de disponibilidad; fecha que, sin embargo, el órgano judicial ha considerado fuera de plazo, por lo que acordó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insiste en que, por ser una persona jurídica, si bien está obligada a relacionarse con la administración de justicia a través de medios electrónicos, según establece el art. 273 LEC; sin embargo, cuando se trata del primer emplazamiento y, por tanto, todavía no se ha tenido ninguna relación con el juzgado correspondiente en ese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establece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además, expone que el auto de 25 de junio de 2019 fundamenta su decisión en la Ley del procedimiento administrativo común, norma que es inaplicable al ámbito procesal civil, puesto que además de existir normas concretas al respecto, no se dan en uno y otro ámbito las mismas garantías procedimentales. Precisa que en materia de notificación de actos procesales resulta aplicable tanto la Ley de enjuiciamiento civil como el art. 24 CE, que reconoce el derecho a la tutela judicial efectiva. Alega finalmente que se ha producido también una vulneración del derecho a un proceso con todas las garantías (art. 24.2 CE), en las vertientes del derecho a la defensa contradictoria y del derecho a la asistencia letrada, las cuales permiten en todos los órdenes jurisdiccionales evitar desequilibrios en la posición procesal de las partes, sin limitaciones a su defensa que pudieran en caso contrario ocasionar indefensión a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que se estime el recurso del amparo, acordando la nulidad de las resoluciones judiciales impugnadas y se ordene reponer las actuaciones al momento previo al dictado de la primera de las resoluciones judiciales impugnadas, a fin de que el juzgado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29 de junio de 2020, acordó admitir a trámite 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y puede dar ocasión para aclarar o cambiar su doctrina, como consecuencia de cambios normativos relevantes para la configuración del contenido del derecho fundamental [STC 155/2009, FJ 2 b)]; dirigir atenta comunicación al órgano judicial para el emplazamiento de quienes hubieran sido parte en el procedimiento para que puedan comparecen en el recurso de amparo; y la formación de la pieza separada de suspensión, que fue resuelta por ATC 86/2020,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Pera Assets Designated Activity Company, representada por la procuradora de los Tribunales doña Blanca María Grande Pesquero, bajo la asistencia del letrado don Alejandro Ingram Solís, por escrito registrado el 28 de julio de 2020,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5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Tercera del tribunal, por diligencia de ordenación de 12 de febrero de 2021, tuvo por personada y parte a la procuradora doña Blanca María Grande Pesquero en la representación acreditada y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10 de marzo de 2021, presentó sus alegaciones interesando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 El Ministerio Fiscal fundamenta esta petición en la jurisprudencia constitucional establecida en las SSTC 40/2020, de 27 de febrero, y 43/2020, de 9 de marzo, en las que, entre otras, se han resulto demandas de amparo semejantes a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presentó sus alegaciones el 17 de marzo de 2021, remitiéndose a lo expuesto en su demanda, haciendo mención adicional a la STC 40/2020, de 27 de febrero, en la que el tribunal resolvió estimatoriamente un asunto prácticamente idéntico al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jurisprudencia constitucional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FJ 3, ha abordado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del Tribunal plasmada en las SSTC 6/2019, de 17 de enero, FJ 4 a), (iii), dictada al resolver una cuestión de inconstitucionalidad planteada en relación con el último inciso del artículo 152.2 LEC, y 47/2019, de 8 de abril, FJ 4 a), recaída en proceso de amparo, en relación con la garantía de emplazamiento personal inicial del demandado o ejecutado en los procesos regidos en esta materia por la Ley de enjuiciamiento civil (directa o supletoriamente). En ellas se ha concluido que no procede efectuar por medios electrónicos la citación o emplazamiento del demandado aún no personado en el procedimiento, dado que esos actos deben realizarse por remisión a su domicilio, sin que dicha forma de comunicación pueda ser sustituida por otra electrónica, como puede ser el caso de la efectuada a través de la dirección electrónica habilitada. Tal emplazamiento personal se exige en el art. 155.1 LEC, del que es complemento la regla establecida en el art. 273.4 LEC sobre la presentación en papel de las copias de los escritos y documentos que sustenten la acción. El incumplimiento de este deber del órgano judicial, “acarrea por tanto la conculcación de aquel derecho fundamental”, tal y como ya ha declarado el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se hizo en la STC 40/2020, FJ 4, que las dos resoluciones judiciales impugnadas vulneraron el derecho a la tutela judicial efectiva sin indefensión de la recurrente, por no proceder a su emplazamiento personal en el proceso a efectos de requerirla de pago o, alternativamente, permitirle presentar su oposición a la ejecución, optando, en cambio, el órgano judicial por un emplazamiento electrónico a través del servicio de notificaciones electrónicas y dirección electrónica habilitada de la Fábrica Nacional de Moneda y Timbre. Además, el plazo para presentar el escrito de oposición fue computado invocando normas del procedimiento administrativo común que son ajenas al ámbito jurisdiccional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presente recurso de amparo ha de ser estimado en aplicación de la doctrina fijada en las SSTC 47/2019 y 40/2020 y declararse la vulneración del derecho a la tutela judicial efectiva sin indefensión de la entidad demandante (art. 24.1 CE). De conformidad con lo establecido en el art. 55 LOTC, procede declarar la nulidad de los autos impugnados del Juzgado de Primera Instancia e Instrucción núm. 5 de Lorca, así como de todo lo actuado en el procedimiento de ejecución hipotecaria desde que se proveyó a su emplazamiento a través de la dirección electrónica habilitada, con retroacción de las actuaciones hasta este momento a fin de que el juzgado proceda a efectuar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haestimar el recurso de amparo interpuesto por Penrei Inversiones,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21 de septiembre de 2018 y 25 de junio de 2019, dictados por el Juzgado de Primera Instancia e Instrucción núm. 5 de Lorca en el proceso de ejecución hipotecaria núm. 378-2018, así como de las actuaciones realizadas a partir del emplazamiento de la entidad recurrente a través de la dirección electrónica habilitada, en lo que respecta exclusivamente a la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demandante de amparo, debiendo llevarse a cabo de nuevo este último de forma que resulte respetuosa con el derecho fundamental reconocido.</w:t>
      </w:r>
    </w:p>
    <w:p w:rsidRPr="" w:rsidR="00F31FAF" w:rsidRDefault="00356547">
      <w:pPr>
        <w:rPr/>
      </w:pPr>
      <w:r w:rsidRPr="&lt;w:rPr xmlns:w=&quot;http://schemas.openxmlformats.org/wordprocessingml/2006/main&quot;&gt;&lt;w:szCs w:val=&quot;24&quot; /&gt;&lt;/w:rPr&gt;">
        <w:rPr/>
        <w:t xml:space="preserve"> decidido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