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2021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abril de 2021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Sala Primera del Tribunal Constitucional compuesta por don Juan José González Rivas, presidente; los magistrados, don Andrés Ollero Tassara, don Santiago Martínez-Vares García, don Alfredo Montoya Melgar, don Cándido Conde-Pumpido Tourón y la magistrada doña María Luisa Balaguer Callejón, en el recurso de amparo núm. 2950-2018 promovido por don A.M.Z., ha dictado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el recurso de amparo núm. 2950-2018, promovido a instancia de don A.M.Z., representado por el procurador de los tribunales don Manuel de Benito Oteo y asistido por el letrado don Isaac Salama Salama, ha recaído la STC 51/2021, de 15 de marzo, por la que se estima el recurso, declarando vulnerado el derecho del recurrente a la igualdad de trato y no discriminación por razón de discapacidad (art. 14 CE), y los derechos a un proceso con todas las garantías y a la presunción de inocencia (24.2 CE) y el principio de culpabilidad (art. 25.1 CE). Asimismo, la sentencia estimatoria acuerda declarar la nulidad de la resolución de la secretaria de Estado de Justicia de 8 de junio de 2016; de la sentencia dictada por el Juzgado Central de lo Contencioso-Administrativo núm. 6 en el recurso núm. 134-2016, con fecha de 11 de noviembre de 2016; y de la sentencia de la Sección Tercera de la Sala de lo Contencioso-Administrativo de la Audiencia Nacional de 22 de junio de 2017, dictada en el recurso de apelación núm. 2-2017.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abogacía del Estado, mediante escrito registrado el 25 de marzo de 2021, solicita la aclaración de la citada sentencia en lo relativo a la designación personal del recurrente en amparo en el texto de la misma, y ello porque las iniciales A.M.Z. no coinciden con las iniciales correspondientes al nombre y apellidos del recurrente, tal y como aparece identificado en el resto de diligencias y escritos procesales.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No procede acceder a la aclaración solicitada. En relación con la identificación del recurrente en amparo no existe ningún aspecto que aclarar o rectificar, puesto que en el fundamento jurídico 2 b) de la sentencia, se abordaba expresamente la cuestión planteada, habiéndose decidido lo siguiente: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“b) La presente sentencia no incluye la identificación completa del recurrente, cuyo expediente administrativo, así como las resoluciones judiciales impugnadas contienen datos personales de salud y relativos a su situación personal, a fin de preservar su intimidad. Esta decisión responde a las potestades atribuidas a este tribunal por el art. 86.3 LOTC y el acuerdo del Pleno de 23 de julio de 2015, en materia de protección de datos de carácter personal en el ámbito de la publicación y difusión de sus resoluciones jurisdiccionales [en el mismo sentido, SSTC 132/2016, de 18 de julio, FJ 1 c); 31/2017, de 27 de febrero, FJ 1 c), y 85/2017, de 3 de julio, FJ 1]. Atendemos de este modo, asimismo, a la solicitud del recurrente, contenida en la demanda, que solicitaba que su identificación se realizara a través de iniciales elegidas aleatoriamente”.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Declarar que no ha lugar a la aclaración solicitada.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diecinueve de abril de dos mil veintiuno.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