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6089-2019, promovido por Euroinversiones Inmobiliarias Costa Sur, S.L., contra el auto del Juzgado de Primera Instancia e Instrucción núm. 5 de Lorca, de 10 de septiembre de 2019, que desestimó el recurso de reposición interpuesto contra el auto, también impugnado, de fecha 21 de septiembre de 2018, por el que se inadmitió por extemporánea la demanda de oposición a la ejecución formulada por dicha mercantil en el procedimiento de ejecución hipotecaria núm. 365-2018, instado por la entidad Banco de Sabadell, S.A. Ha intervenido el Ministerio Fiscal. Se ha personado la entidad Pera Assets Designated Activity Company, actuando como sucesora procesal del banco ejecutante.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octubre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 ahora recurrente de amparo, en su calidad de titular del derecho de uso sobre la finca registral 43.314, inscrita en el Registro de la Propiedad núm. 3 de Lorca. Incoado procedimiento de ejecución hipotecaria (núm. 365-2018), mediante auto de fecha 6 de junio de 2018, el Juzgado de Primera Instancia e Instrucción núm. 5 de Lorca (en adelante, el juzgado) ordenó la ejecución del título hipotecario, despachó ejecución contra otra entidad y contra la ahora demandante de amparo y dispuso, a continuación,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auto, junto con el decreto que dictará el letrado de la administración de justicia, y copia de la demanda ejecutiva, serán notificados simultáneamente a la parte ejecutada, tal y como dispone el artículo 553 de la Ley de Enjuiciamiento Civil (LEC), sin citación ni emplazamiento, para que en cualquier momento pueda personarse en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auto no cabe recurso alguno, sin perjuicio de que la parte ejecutada pueda oponerse al despacho de ejecución en los términos previstos en el artículo 695 LEC y en el plazo de diez días a contar desde el siguiente a la notificación del presente auto y del decreto que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notificación se produjo a través del servicio de notificaciones electrónicas de la Fábrica Nacional de Moneda y Timbre. Más en concreto, el servicio remitió el 13 de junio de 2018 un correo electrónico en el que señalaba como asunto “Juzgados y Tribunales – Aviso de Notificación para el NIF B73258006”, dirigida a Euroinversiones Inmobiliarias Costa Sur, S.L. – NIF B73258006. Según el texto del correo, la notificación venía referida al asunto “JDO. 1 INST. E INSTR. N 5 DE LORCA EJH/0000365/2018”, indicándole que la “notificación estará disponible en su dirección electrónica habilitada única desde el 13-06-2018 hasta el 29-07-2018. Si no procediera a su lectura en el plazo indicado se producirán los efectos correspondientes, según la normativa aplicable”. Más adelante se añadía que “independientemente del tiempo que tenga a su disposición el acto de comunicación, transcurridos tres días hábiles desde su puesta a su disposición sin que el destinatario haya accedido a su contenido, se entenderá que la comunicación ha sido efectuada legalmente desplegando todos sus efectos, conforme con lo establecido en el art. 162.2 LEC”, para finalizar señalando que este “aviso conforme a lo dispuesto en el art. 25 del Real Decreto 1065/2015 no tiene efecto procesal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certificación emitida por el servicio de notificaciones electrónicas y dirección electrónica habilitada también consta que la notificación tenía como número de referencia el 5b21442ec73dc, que fue puesta a disposición del destinatario el 13 de junio de 2018 y que la fecha de aceptación fue el 24 de julio de 2018, figurando como certificado digital receptor el correspondiente a don Juan Miguel Jiménez, en su calidad de representante de la citada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escrito presentado ante el juzgado el día 31 de julio de 2018, la demandante de amparo compareció en el procedimiento, formulando oposición a la ejecución, con su documentación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21 de septiembre de 2018, el juzgado dictó un auto por el que se acordó: “Inadmitir a trámite la oposición formulada por la parte ejecutada […] Euroinversiones Inmobiliarias Costa Sur, S.L., […] por presentación fuera de plazo, contra Banco Sabadell, S.A.”, advirtiendo en pie de recurso que contra dicha resolución cabía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Formalizado recurso de reposición, el juzgado dictó un nuevo auto el 10 de septiembre de 2019, por el que se desestimó el recurso, conforme a los motivos expuestos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14.2 a) de la Ley 39/2015 LPACAP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que los recurrentes interpretan de forma errónea la normativa aplicable, se citan los arts. 162.2 LEC; 33.2 y 34 de la Ley 18/11, de 5 de julio; 11.2 del Real Decreto 1065/2015, de 27 de noviembre; y el acuerdo no jurisdiccional del Pleno de la Sala Cuarta del Tribunal Supremo de 6 de julio de 2016, para concluir afirmando la “validez [de] la notificación a personas jurídicas por canales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el presente caso, consta que la notificación se puso a disposición de las recurrentes en fecha 13/06/18 no accediendo al contenido hasta el día 24/07/18 […], presentando los escritos de oposición a la ejecución en fecha 03/09/18 (sic),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indicó que dicha resolución “es firme, y contra la misma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notificado en fecha 16 de septiembre de 2019 y, junto con el auto de 21 de septiembre de 2018, es el objeto del presente recurso interpuesto por la citada entidad Euroinversiones Inmobiliarias Costa Sur,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reconoce que, por ser una persona jurídica, viene obligada a relacionarse con la administración de justicia a través de medios electrónicos. Aclara, no obstante, que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Además, su entidad nunca facilitó una dirección de correo electrónico a efectos de notificaciones telemáticas y, a pesar de ello, se le remitió un aviso que no permitía conocer realmente el objeto del asunto.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10 de septiembre de 2019,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expresa de la doctrina de este tribunal sobre la relevancia de los actos de comunicación procesal desde la perspectiva del derecho a la tutela judicial efectiva (entre otras, SSTC 115/1988, 195/1990 y 326/1993), finaliza solicitando que, con estimación del amparo, se acuerde la nulidad de los autos de 21 de septiembre de 2018 y de 10 de septiembre de 2019, “reconociendo el derecho individual de Euroinversiones Inmobiliarias Costa Sur, S.L., a obtener una resolución con respeto al derecho a la tutela judicial efectiva, y la nulidad de actuaciones y reposición de todo al momento previo a dictarse el auto de fecha 21 de septiembre de 2018, para que resuelva conforme a derecho, admitiendo a trámite la demanda de oposición al despacho de ejecución” formulada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en el escrito de demanda se argumentó “que la continuación de la ejecución derivadas de los pronunciamientos judiciales que han sido objeto de impugnación, con la celebración de subasta y la eventual adjudicación a terceros, pueden hacer perder al recurso de amparo su finalidad”, por lo que se solicitó “la suspensión de la continuación del procedimiento de ejecución hipotecaria 365-2018 seguido ante el Juzgado de Primera Instancia e Instrucción núm. 5 de Lorca, hasta tanto sea resuelto el presente recurso de amparo, poniéndolo en conocimiento del órgano judicial”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11 de febrero de 2020 por la que acordó: (i) admitir a trámite el recurso,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 (ii) dirigir atenta comunicación al Juzgado de Primera Instancia e Instrucción núm. 5 de Lorca, a fin de que, “en méritos al procedimiento de ejecución hipotecaria núm. 365-2018, proceda a emplazar […] a quienes hubieran sido parte en el procedimiento” de origen, excepto a la “recurrente en amparo”, para poder comparecer en el presente proceso constitucional en el plazo de diez días, y (iii) formar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dictada por la Sección Cuarta de este tribunal en la misma fecha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 Este traslado fue cumplimentado por la parte recurrente, mediante escrito de fecha 14 de febrero de 2020, en el que se ratificó en su petición inicial. Por su parte, el Ministerio Fiscal presentó informe en fecha 25 de febrero de 2020, en el que interesó que se adoptara únicamente la medida de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acordó por medio del ATC 38/2020, de 9 de marzo, dictado por la Sala Segunda de este tribunal. En el mismo se denegó la suspensión solicitada y se ordenó la anotación preventiva de la demanda de amparo en el registro de la propiedad, con remisión al referido juzgado para la expedición del mandamiento oportuno. Se considera, a tal efecto, que esta medida “se reputa […] idónea para evitar el perjuicio derivado de que la adquisición del bien por tercero lo hiciera irreivindicable, situación a la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9 de marzo de 2020, la procuradora de los tribunales doña María Claudia Munteanu, actuando en nombre y representación de la entidad Pera Assets Designated Activity Company, bajo la dirección letrada de don Alejandro Ingram Solís, solicitó que se le tuviera por personada en este recurso, en su condición de adquirente de los créditos hipotecarios que anteriormente eran de la titularidad de la entidad Banco de Sabadell, S.A. Estos créditos le habían sido cedidos por esta en virtud de escritura suscrita el 23 de julio de 2019, ante el notario de Madrid don Carlos de Alcocer Torra.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abril de 2021, la secretaría de justicia de la Sala Segunda de este tribunal dictó diligencia de ordenación por la que se acordó, de un lado, tener por personado y parte a la entidad Pera Assets Designated Activity Company, a través de la procuradora mencionada, y de otro,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presentó escrito de alegaciones el 30 de abril de 2021, por el que interesó de este tribunal que dictara sentencia otorgando el amparo a la recurrente, con reconocimiento de la vulneración de su derecho a la tutela judicial efectiva sin indefensión (art. 24.1 CE), y su restablecimiento mediante la declaración de nulidad de “todo lo actuado desde la notificación efectuada electrónicamente del auto despachando ejecución acordado por el Juzgado de Primera Instancia e Instrucción núm. 5 de Lorca, en el juicio de ejecución hipotecaria 3652018”, además de la consiguiente retroacción de las actuaciones al momento inmediatamente anterior a aquella notificación, “para que se le dé al recurrente posibilidad de formular la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considera que nos encontramos ante el mismo supuesto fáctico y jurídico que ya fue resuelto en sentido estimatorio mediante las SSTC 40/2020, de 27 de febrero y 43/2020, de 9 de marzo, cuyo contenido extracta. En estas resoluciones se concedió el amparo solicitado por aplicación de la doctrina expuesta, a su vez, en las SSTC 6/2019, de 17 de enero y 47/2019, de 8 de abril, de las que se deriva la obligatoriedad de que el primer emplazamiento se realice de manera personal y con entrega en papel de la documentación, conforme a lo dispuesto en los arts. 155.1 y 273.4,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representante procesal de la entidad recurrente presentó su escrito de alegaciones el 17 de mayo de 2021. En el mismo interesó que se dictara resolución estimatoria del recurso de amparo reiterando los argumentos expuestos en la demanda. Además, se hace una reseña expresa de la sentencia que resuelve el recurso de amparo núm. 5377-2018, que se corresponde con la STC 40/2020, de 27 de febrero. En esta resolución, por aplicación de las SSTC 6/2019, de 17 de enero, y 47/2019, de 8 de abril, se confirma la doctrina que defiende en este recurso, en torno a la necesidad de que el primer emplazamiento o citación se efectúe en el domicilio de la persona jurídica que figure como demandada, según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Secretaría de Justicia se ha dictado diligencia el 19 de mayo de 2021, dejando constancia de la presentación de los escritos de alegaciones del Ministerio Fiscal y de la representación procesal de la recurrente en amparo, quedando el asunto concluso y pendiente para deliberación cuando por turno corresponda. No consta presentado dentro del plazo del art. 52.1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mayo de 2021,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e instrucción de Lorca, los cuales, tras emplazarlas por vía electrónica a través del servicio de notificaciones electrónicas y de dirección electrónica habilitada de la Fábrica Nacional de Moneda y Timbre, han inadmitido a trámite los ulteriores escritos de oposición a la ejecución, los recursos de reposición o de nulidad de actuaciones, por considerarlos extemporáneos o improcedentes, al entender realizados conforme a Derecho los emplazamientos comunicados a través del sistema de notificaciones telemáticas.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e Instrucción núm. 5 de Lorca, de 21 de septiembre de 2018 y de 10 de septiembre de 2019, dictados en el proceso hipotecario núm. 365-2018.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en esencia, la vulneración del derecho fundamental a la tutela judicial efectiva (art. 24.1 CE), en su vertiente de derecho a no padecer indefensión, al no haberse efectuado aquel emplazamiento de manera personal y con entrega en papel de la documentación correspondiente, tal y como establecen las normas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por el primer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del Tribunal Constitucional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la STC 40/2020, de 27 de febrero, en la que ha tenido la oportunidad de resolver el recurso de amparo cabecera de esta serie, promovido contra dos autos de coincidente contenido con el que ahora se impugna, y donde se dio respuesta a los mismos argumentos que defienden aquí las partes, con fallo estimatorio de la demanda. Descartada en este caso la concurrencia de algún elemento distintivo que obligue a una fundamentación o resultado diferente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el fundamento jurídico 2 se descarta cualquier posible óbice procesal, tanto por falta de agotamiento de la vía judicial previa al amparo [art. 44.1 a) LOTC] como por ser prematuro el amparo. En el primer caso, porque no cabe recurso contra el auto desestimatorio de la reposición, como se indica en el pie de recurso de este. En el segundo supuesto, porque no es exigible esperar a la finalización del proceso ejecutivo hipotecario a quo, ya que condicionar la interposición de la demanda de amparo a este hecho genera una dilación injustificada que se traduciría en un gravamen adicional o en la intensificación de la lesión constitucional que denuncia, como ya se expuso en las SSTC 39/2015, de 2 de marzo, y 49/2016,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fundamento jurídico 3 de esa resolución se advierte que es de aplicación la doctrina de este tribunal plasmada en sus SSTC 6/2019, de 17 de enero, FJ 4 a), dictada en sede de cuestión de inconstitucionalidad, y 47/2019, de 8 de abril, FJ 4 a), recaída en proceso de amparo. En ambos supuestos se afirma la “garantía del emplazamiento personal del demandado o ejecutado en los procesos regidos en esta materia por la Ley de enjuiciamiento civil (directa o supletoriamente), como primera comunicación con el órgano judicial competente, sin que pueda ser sustituida por una comunicación electrónica”, tal y como ocurre con la efectuada a través de la dirección electrónica habilitada. El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constata entonces la STC 40/2020, en su fundamento jurídico 4, como ha de hacerse también en el presente supuesto,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Por el contrario, el juzgado optó por un emplazamiento electrónico a través del servicio de notificaciones electrónicas y dirección electrónica habilitada de la Fábrica Nacional de Moneda y Timbre, que no está previsto en la normativa procesal para estos casos, y que apenas consistía en un aviso remitiendo a un enlace de internet para poder conocer el contenido de la notificación. Además, para el cómputo del plazo de presentación del escrito de oposición se invocaron normas del procedimiento administrativo común, que son ajenas al ámbito jurisdiccional en el que nos encontramos, en alegal conjunción con el plazo del art. 556 LEC. Todo ello produjo una indebida denegación de su escrito de oposición a la ejecución, lo que determina la estimación del amparo por vulneración de su derecho fundamental a la tutela judicial efectiva sin padecer indefensión (art.24.1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21 de septiembre de 2018 y de 10 de septiembre de 2019, dictados por el Juzgado de Primera Instancia e Instrucción núm. 5 de Lorca en el proceso de ejecución hipotecaria núm. 365-2018, así como la nulidad de las actuaciones realizadas a partir del auto de 6 de junio de 2018 por el que se acordó el despacho de la ejecución y el requerimiento de pago a la entidad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la entidad ejecutada, debiendo llevarse a cabo de nuevo este trámite por el citado juzgado,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