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10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5467-2019, promovido por don Víctor Hugo Sánchez Mina,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septiembre de 2019, don Víctor Hugo Sánchez Mina, representado por la procuradora de los tribunales doña María Isabel García Martínez, bajo la dirección del letrado don Miguel Cobas Pascual, interpuso recurso de amparo contra la providencia de la Sección Primera de la Sala de lo Contencioso-Administrativo del Tribunal Supremo de 18 de julio de 2019, por la que se inadmite el recurso de casación núm. 2615-2019, interpuesto contra la sentencia de la Sección Segunda de la Sala de lo Contencioso-Administrativo del Tribunal Superior de Justicia de Madrid núm. 86/2019, de 6 de febrero de 2019, por la que se desestima el recurso de apelación núm. 668-2018, interpuesto contra la sentencia núm. 95/2018 del Juzgado de lo Contencioso-Administrativo núm. 9 de Madrid, de 9 de abril de 2018, pronunciada en el procedimiento abreviado núm. 213-2017, por la que se desestima el recurso interpuesto contra la resolución de la delegada del Gobierno en Madrid de 30 de diciembre de 2016, pronunciada en el expediente sancionador núm. 280020160018293, en que se acuerda la expulsión de territorio nacional con la prohibición de entrada en España por un periodo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 las resoluciones impugnadas argumentando, con cita de diversa jurisprudencia constitucional (AATC 82/1999, de 12 de abril; 356/2008, de 10 de noviembre, y 156/2010, de 15 de noviembre) que la ejecución de la expulsión del territorio nacional provocaría perjuicios de carácter personal, económico y familiar de imposible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10 de marzo de 2021,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15 de abril de 2021, presentó alegaciones interesando que se acceda a la suspensión solicitada en aplicación de la jurisprudencia constitucional sobre la suspensión de la sanción de expulsión que establece que “la ejecución de las resoluciones que la acuerdan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(ATC 47/2016,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acordar la suspensión de las resoluciones impugnadas en la medida en que se acuerda la expulsión del recurrente del territorio nacional y la prohibición de entrada en España por un periodo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dispone que la interposición de un recurso de amparo no suspenderá los efectos del acto o sentencia impugnados y el art. 56.2 LOTC concreta que podrá acordarse la suspensión cuando su ejecución “produzca un perjuicio al recurrente que pudiera hacer perder al amparo su finalidad”. Se establece como condición que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reiterado, en relación con la suspensión de la sanción de expulsión de territorio nacional y de prohibición de entrada en España, que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(AATC 82/1999, de 12 de abril, FJ 2; 356/2008, de 10 de noviembre, FJ único; 156/2010, de 15 de noviembre, FJ único; 66/2012, de 16 de abril, FJ 2; 116/2013, de 20 de mayo, FJ 2; 90/2015, de 25 de mayo, FJ 2; 47/2016, de 29 de febrero, FJ 2, y 133/2016, de 22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 aplicación de lo expuesto y de acuerdo con lo que solicita el Ministerio Fiscal, resulta procedente acordar la suspensión de la expulsión del territorio nacional del recurrente y la prohibición de entrada durante tres años en España atendiendo al conjunto de circunstancias personales que se reflejan en las actuaciones y al hecho de que no cabe apreciar que dicha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de la delegada del Gobierno en Madrid de 30 de diciembre de 2016, pronunciada en el expediente sancionador núm. 280020160018293, en que se acuerda la expulsión del recurrente de territorio nacional con la prohibición de entrada en España por un periodo de tres años.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