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29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2606-2018, promovido por don Jaber El Ghali, contra el decreto del letrado de la administración de justicia del Juzgado de Vigilancia Penitenciaria núm. 3 de Cataluña de 3 de abril de 2018, por el que se desestima el recurso de reposición interpuesto contra la diligencia de ordenación de 20 de enero de 2018, pronunciados en el expediente especial núm. 526-2017.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Jaber El Ghali, representado por el procurador de los tribunales don José Carlos Naharro Pérez, bajo la asistencia de la letrada doña María Concepción Díaz Gómez, formalizó recurso de amparo contra las resoluciones que se mencionan en el encabezamiento de esta sentencia mediante escrito registrado en este tribunal el 16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 la administración de justicia del Juzgado de Vigilancia Penitenciaria núm. 3 de Cataluña, mediante diligencia de ordenación de 20 de enero de 2018 pronunciada en el expediente especial núm. 526-2017, denegó la solicitud del demandante de amparo de la obtención de la copia completa de lo actuado en dicho expediente con suspensión de los plazos para la interposición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interpuso recurso de reposición, que fue desestimado por decreto del mismo letrado de la administración de justicia de 3 de abril de 2018, en el que se indicaba la firmeza de la resolución por no caber recurso alguno, de conformidad con lo dispuesto en el art. 238 bis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las resoluciones impugnadas han vulnerado su derecho a la tutela judicial efectiva sin indefensión (art. 24.1 CE), en primer lugar, porque se ha hecho aplicación del art. 238 bis LECrim, que impide el control judicial de determinadas decisiones del letrado de la administración de justicia, tal como es exigible de acuerdo con lo establecido en la STC 58/2106, de 17 de marzo, en relación con el art. 102 bis, apartado 2, de la Ley 29/1998, de 13 de julio, reguladora de la jurisdicción contencioso-administrativa. Afirma que la circunstancia de que la vulneración provenga de la ley, dota de especial transcendencia constitucional al recurso de amparo y justifica el planteamiento de una cuestión interna de inconstitucional contra el citado precepto. También se invoca el art. 24.1 CE en relación con la decisión del letrado de la administración de justicia de no suspender los plazos de recurso tras la obtención de las copias del expediente por resultar lesivo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10 de marzo de 2021, acordó admitir a trámite el recurso de amparo apreciando que concurre una especial trascendencia constitucional (art. 50.1 LOTC), como consecuencia de que la posible vulneración del derecho fundamental que se denuncia pudiera provenir de la ley [STC 155/2009, FJ 2 c)]; y dirigir atenta comunicación al órgano judicial para la remisión de testimonio de las actuaciones y el emplazamiento de quienes hubieran sido parte en el procedimiento para que puedan comparecen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13 de abril de 2021, tuvo por personada y parte a la abogacía del Estado y acordó dar vista de las actuaciones a las partes personadas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17 de mayo de 2021, presentó sus alegaciones interesando la estimación del recurso de amparo, declarando vulnerado el art. 24.1 CE, la nulidad del decreto impugnado en el extremo en que declara que es irrecurrible y firme, y la retroacción de actuaciones al momento del pronunciamiento del citado decreto. El Ministerio Fiscal destaca que el art. 238 bis LECrim, en el que la resolución impugnada fundamenta su firmeza, ha sido anulado por la STC 151/2020, de 22 de octubre, por lo que, tal como se ha acordado en la STC 179/2020, de 14 de diciembre, respecto de otro recurso de amparo planteado por el demandante de amparo, procede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abogacía del Estado, mediante escrito registrado 18 de mayo de 2021, presentó sus alegaciones, solicitando que se declarara la improcedencia del planteamiento de la cuestión de inconstitucionalidad, al haberse ya declarado la nulidad del art. 238 bis LECrim por la STC 151/2020, de 22 de octubre. En cuanto al fondo de la invocación del art. 24.1 CE por la no suspensión de plazos para recurrir contenido en las resoluciones impugnadas, insta su desestimación por no suponer una decisión lesiva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presentó sus alegaciones el 13 de mayo de 2021 poniendo de manifiesto que en asuntos que planteaban la misma cuestión se había estimado su recurso de amparo (SSTC 164/2020, de 16 de noviembre, y 179/2020,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junio de 2021,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constitucional establecida por las SSTC 151/2020 y 164/2020.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principal de este recurso de amparo es determinar la vulneración del derecho a la tutela judicial efectiva (art. 24.1 CE) por haber privado la decisión impugnada al demandante de amparo la posibilidad de su control judicial en aplicación del art. 238 bis LECrim, que establece que contra “el decreto del secretario judicial que resuelva el recurso de reposición no cabrá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151/2020, de 22 de octubre, declaró la inconstitucionalidad y nulidad del citado precepto por vulnerar el art. 24.1 CE, con fundamento en que excluye todo control jurisdiccional del decreto del letrado de la administración de justicia que resuelve el recurso de reposición, cerrando la posibilidad de una tutela de derechos e intereses legítimos que la Constitución contempla que sea siempre dispensada por los jueces y tribunales, creando un sector de inmunidad que no se compadece con el art. 24.1 CE ni con lo previsto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jurisprudencia, y a consecuencia de la anulación del citado precepto en las SSTC 164/2020, de 16 de noviembre, y 179/2020, de 14 de diciembre, sendos recursos de amparo interpuestos por el mismo demandante que el presente, en los que se planteaba la misma cuestión, fueron estimados. A la misma conclusión debe llegarse también en este caso con los efectos inherentes de anulación del decreto impugnado en el extremo en que se declara su firmeza y de retroacción de actuaciones para que se pronuncie otro sobre ese particular y se confiera la posibilidad de interponer recurso de revisión frente al referido decreto, de acuerdo con lo establecido en la STC 151/2020,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Jaber El Ghali,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decreto del letrado de la administración de justicia del Juzgado de Vigilancia Penitenciaria núm. 3 de Cataluña de 3 de abril de 2018, pronunciado en el expediente especial núm. 526-2017, en cuanto que contra el mismo no cabe interponer recurso alguno y era firme.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del pronunciamiento del decreto para que se provea su reparación confiriendo la posibilidad de interponer recurso de revisión frente al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