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2398-2020, interpuesto por la abogada de la Generalitat de Cataluña, contra el auto de la Sección de Casación de la Sala de lo Contencioso-Administrativo del Tribunal Superior de Justicia de Cataluña de 10 de marzo de 2020, por el que se desestima el recurso de queja núm. 14-2019, interpuesto contra el auto de la Sección Quinta de la misma Sala de 11 de octubre de 2019, por el que se deniega tener por preparado el recurso de casación por infracción de la normativa autonómica contra la sentencia de 20 de diciembre de 2017, dictada por la Sección Quinta de la Sala en el recurso ordinario núm. 495-2014. Han sido parte los ayuntamientos de Barberà del Vallès, Camprodon, Canovelles, Castellar del Vallès, Castellbell i El Vilar, Cerdanyola del Vallès, Lleida, Montmeló, Montseny, Olesa de Montserrat, Pineda de Mar, El Pont de Vilomara i Rocafort, El Prat de Llobregat, Ripollet, Rubí, Sant Adrià de Besòs, Sant Boi de Llobregat, Sant Cebrià de Vallalta, Sant Celoni, Sant Esteve Sesrovires, Sant Llorenç d’Hortons, Santa Coloma de Gramenet, Santa Perpètua de Mogoda, Tarragona, y El Vendrell i Viladecans, representados por el procurador de los tribunales don Javier Segura Zariquiey, bajo la dirección de la abogada doña Elena Moreno Durán.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11 de junio de 2020, la abogada de la Generalitat de Cataluña, en la representación que legalmente ostenta, interpuso recurso de amparo contra los autos mencionados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Quinta de la Sala de lo Contencioso-Administrativo del Tribunal Superior de Justicia de Cataluña de 20 de diciembre de 2017, pronunciada en el recurso ordinario núm. 495-2014, estimó parcialmente el recurso interpuesto por los ayuntamientos antes referenciados contra sendas resoluciones de la Consejería de Enseñanza de la Generalitat de Cataluña de 25 y 26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Generalitat de Cataluña presentó escrito ante la Sección Quinta de la Sala de lo Contencioso-Administrativo del Tribunal Superior de Justicia de Cataluña, anunciando la intención de interponer contra dicha sentencia recurso de casación por infracción de normativa autonómica, al amparo del art. 86.3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Quinta de dicha Sala, por auto de 11 de octubre de 2019, acordó denegar la preparación del recurso de casación al no ser la resolución susceptible de dicha impugnación argumentando, con cita de su auto de 11 de marzo de 2019, pronunciado en el procedimiento ordinario núm. 452-2015, que el recurso de casación por infracción de la normativa autonómica no cabe contra las sentencias de las salas de los tribunales superiores de justicia cuando tienen un reparto especializado. Esto resultaría contradictorio con la vigente regulación procesal del recurso de casación estatal, que responde a la lógica de dos secciones: una de admisión (no especializada), que se limita a examinar si concurren los requisitos de admisión, y otra de resolución (especializada), que es la que forma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Generalitat de Cataluña interpuso contra ese auto recurso de queja, que fue tramitado con el núm. 14-2019 por la Sección de Casación de la Sala de lo Contencioso-Administrativo del Tribunal Superior de Justicia de Cataluña. Invocó la recurrente la vulneración del derecho a la tutela judicial efectiva (art. 24.1 CE), desde la perspectiva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queja fue desestimado por auto de 10 de marzo de 2020. El auto, que cuenta con el voto particular disidente de uno de los magistrados de la Sección, argumenta que una interpretación sistemática de los párrafos segundo y tercero del art. 86.3 LJCA determina que el recurso de casación autonómico solo procede contra las sentencias dictadas en única instancia por los juzgados de lo contencioso-administrativo que contengan doctrina que se repute gravemente dañosa para los intereses generales, sean susceptibles de extensión de efectos y se funden en normas emanadas de la comunidad autónoma, pero no contra las sentencias dictadas por las salas de lo contencioso-administrativo de los tribunales superiores de justicia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se afirma que la reforma legal operada en el recurso de casación en el orden contencioso-administrativo por la Ley Orgánica 7/2015 se dirige especialmente a la casación estatal y se estructura orgánicamente en dos fases referidas a la admisión, que se decide por una sección no especializada y rotatoria, y a la decisión, que se sigue en una sección especializada o ante el Pleno y cuya función es la creación de jurisprudencia. Esta configuración legal resultaría contradictoria en el ámbito de la casación autonómica si se estimaran recurribles las resoluciones de la propia Sala, que en la generalidad de los casos se reparten los asuntos por secciones especializadas, ya que en tal caso serían las sentencias de estas secciones especializadas las que podrían revisarse por una sección de casación que es rotatoria y no especializada y que, por tanto, no tiene una ascendencia jerárquica ni una cualificación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del derecho a la tutela judicial efectiva (art. 24.1 CE), en la vertiente de acceso a los recursos. Con cita de la doctrina constitucional sentada en las SSTC 128/2018, de 29 de noviembre; 18/2019, de 11 de febrero, y 26/2019, de 25 de febrero, sostiene la Generalitat de Cataluña que la decisión judicial de denegar la preparación del recurso de casación por infracción de la normativa autonómica contra la sentencia que pretendía impugnar carece de fundamento legal y resulta arbitraria, al vedar la posibilidad de acceder a un recurso que está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recurso de amparo tiene especial transcendencia constitucional, ya que nos hallamos ante un incumplimiento reiterado por parte de la jurisdicción ordinaria de la jurisprudencia constitucional en la materia y porque se plantea una cuestión jurídica de relevante y general repercusión social, en la medida en que no se trata de la inadmisión de un recurso en particular, sino la denegación con carácter general de la posibilidad de aplicación en el ámbito del Tribunal Superior de Justicia de Cataluña de un recurso regulado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febrero de 2021, la Sección Segunda de este tribunal acordó admitir a trámite el recurso de amparo, apreciando que concurre una especial trascendencia constitucional (art. 50.1 LOTC), porque el recurso puede dar ocasión al tribunal para aclarar o cambiar su doctrina, como consecuencia de un proceso de reflexión interna [STC 155/2009, FJ 2 b)], y asimismo puede darle ocasión para aclarar o cambiar su doctrina como consecuencia de cambios normativos relevantes para la configuración del contenido del derecho fundamental [STC 155/2009, FJ 2 b)]. Por ello, en aplicación de lo dispuesto en el art. 51 LOTC, se ordena dirigir atenta comunicación a la Sala de lo Contencioso-Administrativo del Tribunal Superior de Justicia de Cataluña, para que, en plazo que no exceda de diez días, remita certificación o fotocopia adverada de las actuaciones correspondientes al procedimiento ordinario núm. 495-2014 y al recurso de queja núm. 14-2019; debiendo asimismo emplazar a quienes hubieran sido parte en dicho procedimiento, excepto a la recurrente en amparo, a fin de que puedan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25 de marzo de 2021, acordó tener por personado y parte en el presente proceso constitucional al procurador de los tribunales don Javier Segura Zariquiey, en nombre y representación de los ayuntamientos referidos en el encabezamiento de la presente sentencia. Acordó asimismo dar vista de las actuaciones recibidas de la Sala de lo Contencioso-Administrativo del Tribunal Superior de Justicia de Cataluña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Javier Segura Zariquiey, en nombre y representación del Ayuntamiento de Barberà del Vallès y los veintiséis ayuntamientos restantes antes referidos, presentó su escrito de alegaciones ante este tribunal el 4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esta parte no desconocer la doctrina sentada por este tribunal, en asuntos similares al presente, en las SSTC 98/2020, de 22 de julio, y 11/2021, de 25 de enero, conforme a la cual la limitación en el acceso al recurso de casación autonómico de las sentencias dictadas en primera o única instancia por las salas de lo contencioso-administrativo de los tribunales superiores de justicia vulnera el derecho a la tutela judicial efectiva (art. 24.1 CE), en la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sostiene que en el presente caso procedería acordar el archivo del recurso de amparo, pues el recurso de casación autonómico que la Generalitat de Cataluña pretendía interponer habría perdido objeto. La Generalitat de Cataluña ha procedido a dar cumplimiento a la sentencia recurrida, referida a la financiación de las guarderías infantiles de titularidad municipal, de acuerdo con lo dispuesto en la disposición adicional trigésima de la Ley del Parlamento de Cataluña 5/2020, de 29 de abril, que modifica la Ley 12/2009, de 10 de julio, de educación; de suerte que el recurso de casación autonómico contra esa sentencia ya no tiene razón de ser. Por todo ello, solicita esta parte el archivo del presente recurso de amparo, por pérdida sobrevenida del objeto del recurso de casación autonómico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presentado en este tribunal el 21 de mayo de 2021, formuló sus alegaciones,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advierte de la identidad del objeto de este recurso de amparo con el resuelto por la STC 98/2020, de 22 de julio, cuya fundamentación jurídica reproduce en parte. En esta sentencia ya se concluyó que una interpretación del art. 86 LJCA conforme al cual las sentencias dictadas por las secciones o las salas de lo contencioso-administrativo de los tribunales superiores de justicia no son susceptibles de recurso de casación por infracción de la normativa autonómica vulnera el derecho a la tutela judicial efectiva (art. 24.1 CE), desde la perspectiva del derecho de acceso al recurso. Ello porque semejante interpretación no se corresponde con la jurisprudencia establecida en la STC 128/2018, en referencia al sentido y finalidad de aquella norma, a las exigencias de configuración paralela de ambas modalidades de recurso de casación —estatal y autonómico— y a la remisión implícita del procedente por infracción de normativa autonómica al previsto para la denuncia de la infracción de norma estatal 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abogada de la Generalitat de Cataluña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2021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Remisión a la doctrina constitucional establecida en las SSTC 128/2018, de 29 de noviembre, y 98/2020,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vulneran el derecho a la tutela judicial efectiva (art. 24.1 CE), desde la perspectiva del derecho de acceso al recurso, los autos impugnados. En ellos se rechaza tener por preparado el recurso de casación de la Generalitat, por entender que, en virtud de lo dispuesto en el art. 86.3 de la Ley 29/1998, de 13 de julio, reguladora de la jurisdicción contencioso-administrativa (LJCA), tras la reforma operada por la Ley Orgánica 7/2015, de 21 de julio, no cabe interponer el recurso de casación por infracción de normativa autonómica contra las sentencias dictadas por las secciones de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el otorgamiento del amparo. La representación procesal de los ayuntamientos demandantes en el proceso a quo solicita el archivo del recurso de amparo, por pérdida sobrevenida del objeto del recurso de casación autonómico; sin embargo, debe descartarse que proceda acordar el archivo que se solicita, pues la pretensión deducida en el recurso de amparo en ningún caso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fue resuelto por el Pleno del tribunal en la STC 98/2020, de 22 de julio. En dicha sentencia, con remisión a lo resuelto en la STC 128/2018, de 29 de noviembre, se declara que “sostener que las sentencias dictadas por las secciones o las salas de lo contencioso-administrativo de los tribunales superiores de justicia no son susceptibles de recurso de casación por infracción de normativa autonómica, constituye el resultado de un acto de interpretación y aplicación del art. 86 LJCA que se sustenta en un conjunto de argumentos que no responden a la finalidad perseguida por el legislador y reconocida por este tribunal, de constituir esta modalidad de impugnación el ‘instrumento por excelencia para asegurar la uniformidad en la aplicación judicial del derecho’, en este caso del derecho autonómico. Pero es que, además, aquella interpretación tampoco cumple las dos exigencias de configuración paralela y de remisión implícita que este tribunal ha reconocido, en términos de equiparación normativa, a esta modalidad de recurso respecto del de casación por infracción de la normativa estatal o de la Unión Europea” [STC 98/2020, FJ 3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concluye que “las resoluciones judiciales impugnadas han efectuado, pues, una interpretación y aplicación del art. 86 LJCA, que ha llegado a una conclusión que no se corresponde con la doctrina de este tribunal establecida en la STC 128/2018, en referencia al sentido y finalidad de aquella norma, a las exigencias de configuración ‘paralela’ de ambas modalidades de recurso de casación y a la ‘remisión implícita’ del procedente por infracción de normativa autonómica al previsto para la denuncia de infracción de norma estatal o de la Unión Europea” [STC 98/2020, FJ 3 f)] y, por tanto, que se ha vulnerado el derecho de la parte recurrente a la tutela judicial efectiva (art. 24.1 CE), en su manifestación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reitera en la STC 11/2021,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en coherencia con aquellos pronunciamientos, también debe otorgarse el amparo por el mismo motivo. La estimación del recurso lleva consigo acordar la nulidad de las resoluciones judiciales impugnadas y ordenar que se retrotraigan las actuaciones, para que se pronuncie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Generalitat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su vertiente de derecho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la Sección Quinta de la Sala de lo Contencioso-Administrativo del Tribunal Superior de Justicia de Cataluña de 11 de octubre de 2019, dictado en el recurso ordinario núm. 495-2014; así como del auto de la Sección de Casación de la Sala de lo Contencioso-Administrativo del Tribunal Superior de Justicia de Cataluña de 10 de marzo de 2020, dictado en el recurso de queja núm. 14-2019.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judiciales anuladas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