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12 de julio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Sala Primera del Tribunal Constitucional compuesta por don Juan José González Rivas, presidente; los magistrados, don Andrés Ollero Tassara, don Santiago Martínez-Vares García, don Alfredo Montoya Melgar y don Cándido Conde-Pumpido Tourón, en el recurso de amparo núm. 5368-2020,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noviembre de 2020, la entidad Euroinversiones Inmobiliarias Costa Sur, S.L., representada por la procuradora de los tribunales doña Blanca Berriatua Horta y bajo la dirección del letrado don Marcelino Gilabert, interpuso recurso de amparo contra los autos de 21 de septiembre de 2018 y 29 de septiembre de 2020, dictados por el Juzgado de Primera Instancia e Instrucción núm. 5 de Lorca, en el procedimiento de ejecución hipotecaria núm. 290-2018,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290-2018 promovido por la entidad Banco de Sabadell, S.A., frente a la sociedad Euroinversiones Inmobiliarias Costa Sur, S.L., en calidad de prestataria e hipotecante.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servicio de notificaciones de la Fábrica Nacional de Moneda y Timbre remitió a la demandante de amparo, a través de la dirección electrónica habilitada, un aviso de notificación del citado auto que le fue comunicado por dicho medio el 21 de mayo de 2018. En dicha comunicación se informa que la notificación estará disponible hasta el 6 de julio de 2018, accediendo la recurrente de amparo efectivamente a la página web y a la notificación el último día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18 de julio de 2018. Por auto de 21 de septiembre de 2018 se acordó su inadmisión por considerar la pretensión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que fue desestimado por auto de 29 septiembre de 2020 con la siguiente argumentación: “Las alegaciones del recurrente no desvirtúan el auto recurrido que es claro y correcto en fundamentación fáctica y jurídica. La presentación de la oposición por la parte ejecutada ha sido extemporánea como aclara el auto recurrido. En fecha 21 de mayo de 2018 se notificó y requirió en legal forma a la demandada a través de la sede judicial electrónica al ser persona jurídica, la remisión fue correcta y no es hasta el día 18 de julio de 2018 cuando se presenta la oposición, claramente fuera del plazo de los diez días que se le concede a la parte ejecutada para presentar su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forma de realizar la notificación debía haber sido por remisión al domicilio de la empresa según lo dispuesto en el art. 155 de la Ley de enjuiciamiento civil y que al hacerlo a través de la sede electrónica no había tenido conocimiento del procedimiento de ejecución hasta el 6 de julio de 2018, tal y como consta en el certificado del servicio del soporte del servicio de notificaciones electrónica y dirección electrónica habilitada, por lo que esta debe ser la fecha a partir de la cual deben comenzar a contar los diez días para poder formular la oposición y, por tanto, su escrito fue presentado dentro del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2021 la Sección Primera de este tribunal acordó no admitir a trámite el recurso de amparo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23 de febrero de 2021, interpuso recurso de súplica ex art. 50.3 de la Ley Orgánica del Tribunal Constitucional (LOTC) contra la providencia de 10 de febrero de 2021, en el que interesaba que se dejase sin efecto la providencia indicada, dictándose otra en su lugar admitiendo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la Sección Primera de 5 de abril de 2021 se estimó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10 de mayo de 2021 la Sección Primera de este tribunal acordó admitir a trámite el recurso de amparo, apreciando que concurren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se acordó dirigir comunicación al Juzgado de Primera Instancia e Instrucción núm. 5 de Lorca, a fin de que, en el plazo de diez días, remitiera certificación o fotocopia adverada de las actuaciones correspondientes a la ejecución hipotecaria núm. 290-2018, debiendo previamente emplazarse, para que en el plazo de diez días pudieran comparecer, si lo desearan,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se acuerda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el 17 de mayo de 2021, la parte demandante formuló sus alegaciones, reiterando lo dicho en el otrosí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en escrito registrado el 31 de mayo de 2021, tras exponer la doctrina de este tribunal sobre suspensión de resoluciones y actos impugnados, afirma que este tribunal se ha pronunciado ya en varios recursos de esta misma empresa en asuntos muy similares, con una alegación prácticamente igual para pedir la suspensión. En estos asuntos se ha resuelto sobre la petición de suspensión aplicando la doctrina constitucional, por lo cual considera que procede dar la misma respuesta que en esos procesos, en los que se estima que no procede la suspensión de la ejecución, sino adoptar la medida cautelar de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del secretario de justicia de la Sala Primera de 2 de junio de 2021, al haberse personado en las actuaciones principales del presente recurso la procuradora de los tribunales doña María Claudia Munteanu en nombre y representación de la entidad Pera Assets Designated Activity Company, se concede un plazo de tres días a dicha parte, para que dentro de este término alegue lo que estime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presentado el 9 de junio de 2021, la procuradora de los tribunales doña María Claudia Munteanu, en nombre y representación de Pera Assets Designated Activity Company, presentó su escrito de alegaciones en el que se opone a la suspensión. Tras reproducir distintos autos del Tribunal Constitucional en los que se deniegan las suspensiones interesadas, señala que la recurrente se limita a solicitar la suspensión sin acreditar ningún tipo de perjuicio que pueda considerarse irreparable, teniendo como única finalidad la de entorpecer y demorar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290-2018,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es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entre otros, en los AATC 27/2020, de 24 de febrero;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la anotación preventiva constituye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290-2018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