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y don Ricardo Enríquez Sancho, en el recurso de amparo núm. 5487-2020, promovido por don Juan Antonio Huidobro Barriuso en el procedimiento abreviado núm. 230-2017, del Juzgado de lo Penal núm. 2 de Burgos,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entrada 13 de noviembre de 2020 tuvo entrada en el registro general de este tribunal un escrito del procurador de tribunales don José María Manero de Pereda, en nombre y representación de don Juan Antonio Huidobro Barriuso y bajo la dirección letrada de don Juan Manuel García-Gallardo Gil-Fournier, por el que interpuso recurso de amparo contra: i) la sentencia núm. 105/2019, de 7 de mayo, del Juzgado de lo Penal núm. 2 de Burgos, dictada en el procedimiento abreviado núm. 230-2017; y ii) la sentencia núm. 191/2020, de 16 de julio, de la Sección Primera de la Audiencia Provincial de Burgos, que estimó en parte el recurso de apelación interpuesto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los recurrentes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núm. 105/2019, de 7 de mayo, del Juzgado de lo Penal núm. 2 de Burgos, recaída en el procedimiento abreviado núm. 230-2017, el recurrente en amparo resultó condenado a las siguientes penas: i) cinco meses de prisión, inhabilitación especial para el ejercicio del sufragio pasivo durante el tiempo de condena e inhabilitación especial para el ejercicio de la profesión médica por tiempo de tres años, como autor de un delito de lesiones cometidas por imprudencia profesional grave; y ii) cuatro años de prisión, inhabilitación especial para el derecho de sufragio pasivo durante el tiempo de condena e inhabilitación especial para el ejercicio de la profesión médica por tiempo de cinco años, como autor de un delito de homicidio cometido por imprudencia profesional grave. La sentencia también condena al recurrente al pago de las costas procesales y al abono de indemnizaciones por importes respectivos de 15 000 y 106 000 €, con declaración de la responsabilidad civil directa a cargo de la compañía aseguradora Mapfre, S.A., y la responsabilidad civil subsidiaria de la Gerencia de Sanidad de la Consejería de Salud de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dicha resolución, el demandante de amparo interpuso recurso de apelación, que fue parcialmente estimado por sentencia núm. 191/2020, de 16 de julio, dictada por la Sección Primera de la Audiencia Provincial de Burgos (rollo de apelación núm. 42-2020), en cuya virtud la pena de prisión por el delito de homicidio cometido por imprudencia profesional grave se rebajó a tres años y dos meses, manteniéndose el resto de los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alegaron las siguientes vulneraciones : i) del derecho a un proceso público con todas las garantías (art. 24.2 CE), por vulneración del principio acusatorio y de la garantía de imparcialidad; ii) del art. 24.1 y 2 CE, porque en las diligencias de investigación instruidas por el Ministerio Fiscal no tuvo intervención el demandante de amparo; porque las pruebas periciales preconstituidas en las diligencias de investigación son nulas y carecen de valor como prueba de cargo; y porque se rechazó la petición de la defensa para que intervinieran otros médicos forenses distintos de los que actuaron en las diligencias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interesó la suspensión del cumplimiento y ejecutividad de las sentencias recurridas. En síntesis, el demandante trajo a colación la doctrina constitucional relativa a la suspensión de la ejecución de las penas privativas de libertad, especialmente lo que denomina la directriz general de “que la pena se sitúe por encima o por debajo de la frontera de los cinco años de prisión, por ser el límite que ha establecido el propio legislador para diferenciar entre las penas graves y las menos graves (art. 33 CP)”. Seguidamente, apunta que la ejecución de las penas privativas de libertad podrían ocasionarle perjuicios irreparables que harían perder al recurso de amparo su finalidad, sin que, a la vista de las circunstancias concurrentes, la suspensión interesada ocasione una perturbación grave a un interés constitucionalmente protegido o a los derechos fundamentales libertades públicas de otra persona, pues el demandante ha estado a disposición de los órganos judiciales durante la tramitación de la causa, sin que haya sido necesario adoptar ninguna medida cautelar de carácter personal. Por ello, no hay riesgo de que la suspensión de las penas, mientras se tramita el recurso de amparo, pueda hacer ineficaz el pronunciamiento condenatorio en caso de ser rechazado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interesa que, dada la inminente ejecución de la pena por el tribunal de instancia, la suspensión se adopte con carácter cautelarísimo.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15 de junio de 2021, se acordó admitir a trámite el presente recurso, apreciando que concurre en el mismo una especial trascendencia constitucional (art. 50.1 de la Ley Orgánica del Tribunal Constitucional: LOTC) ya que el recurso plantea un problema o afecta a una faceta de un derecho fundamental sobre el que no hay doctrina de este tribunal [STC 155/2009, FJ 2 a)] y puede dar ocasión al Tribunal para aclarar o cambiar su doctrina, como consecuencia de un cambio en la doctrina de los órganos de garantía encargados de la interpretación de los tratados internacionales a los que se refiere el art. 10.2 CE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apreció la urgencia excepcional prevista en el art. 56 LOTC y, a fin de evitar que la ejecución de la resolución recurrida produjera un perjuicio de imposible o muy difícil reparación que hiciera perder al recurso de amparo su finalidad, se acordó la suspensión cautelar del de las penas privativas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formar pieza separada para la tramitación del incidente de suspensión; y conforme a lo dispuesto en el art. 56 de la Ley Orgánica de este tribunal, se resolvió conceder un plazo de tres días al demandante de amparo y al Ministerio Fiscal, para que aleguen lo que estimen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junio de 2021 presentó sus alegaciones el demandante de amparo. En dicho escrito reitera las razones dadas en el escrito de demanda para justificar la suspensión interesada, si bien añade que en sede judicial el ingreso en prisión pende de la valoración, por parte del médico forense, de un informe emitido por el servicio de endocrinología del Hospital Universitario de Burgos, relativo a su situación clínica.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 de julio de 2021 presentó sus alegaciones el fiscal, quien interesa que se acceda a la suspensión solicitada. Tras exponer los antecedentes que consideró de interés y sintetizar la doctrina constitucional que estimó de aplicación, con especial referencia a la establecida respecto de la suspensión de las penas privativas de libertad, en relación con el presente supuesto sostiene que las penas de prisión impuestas tienen una duración acumulada que es inferior a los límites por los que habitualmente se concede la suspensión de la ejecución según los parámetros de referencia antes citados (cinco años de prisión). Por tanto, estima que procede acordar la suspensión de las referidas penas, a fin de evitar que un eventual pronunciamiento favorable al recurrente pudiera resultar ilusorio, sin que con ello se origine una lesión específica y grave al interés general, más allá de 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el demandante de amparo solicita la suspensión de la ejecución de la penas de prisión que les fueron impuestas en la sentencia anteriormente referenciada.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relación con la suspensión de la ejecución de las penas privativas de libertad, este tribunal “ha asumido, como criterio de ponderación prioritario, el relativo a la gravedad de la pena, de manera que la directriz principal a tener en cuenta es si la pena se sitúa por encima o debajo del umbral de los cinco años (AATC 16/2009, de 26 de enero, 18/2011, de 28 de febrero, FJ 2, y 61/2013, de 27 de febrero, FJ 2), puesto que esa es la frontera establecida por el legislador para diferenciar las penas graves de las menos graves, conforme a lo dispuesto en el artículo 33 del Código penal” (ATC 19/2014, FJ 2). A su vez, “[j]unto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109/2008, de 14 de abril, FJ 2; 22/2009, de 26 de enero, FJ 2, y 150/2013, de 8 de julio, FJ 1” (ATC 122/2018,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doctrina citada, y a la vista de las circunstancias concretas del presente caso procede, conforme a lo manifestado por el fiscal en sus alegaciones, acordar la suspensión de la ejecución de las penas privativas de libertad impuestas al demandante de amparo. En efecto, la duración acumulada de estas penas, de cinco meses y tres años y dos meses de prisión, respectivamente, está dentro de los márgenes que este tribunal ha considerado susceptibles de acordar la medida cautelar interesada. Y de no procederse a la suspensión se podría ocasionar al demandante de amparo un perjuicio irreparable, capaz de dejar en entredicho la eventual eficacia de un fallo estimatorio de la demanda de amparo; teniendo en cuenta, además, que no se produce perturbación grave de los intereses generales ni la afectación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decisión de suspender ha de extenderse a las penas accesorias de inhabilitación especial para el ejercicio del derecho de sufragio pasivo durante el tiempo de las penas de prisión, conforme a la reiterada doctrina de este tribunal que establece que la pena accesoria siga la suerte de la pena principal, respecto de lo que se haya acordado sobre esta en el incidente de suspensión (por todos, AATC 291/2014, de 1 de diciembre, FJ 3; 34/2016, de 15 de febrero, FJ 3, y 122/2018, de 26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penas de inhabilitación especial para el ejercicio de la profesión médica no procede efectuar pronunciamiento alguno, habida cuenta de que el demandante no interesa expresamente su suspensión cautelar ni, en consecuencia, argumenta a favor de la concesión de dicha medida. Por el mismo motivo tampoco procede pronunciarse sobre los restantes pronunciamientos de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penas de prisión cinco meses y tres años y dos meses, respectivamente, y las accesorias de inhabilitación especial para el ejercicio del derecho de sufragio pasivo durante el tiempo de duración de esas penas, que le fueron impuestas a don Juan Antonio Huidobro Barriuso en el procedimiento abreviado núm. 230-2017, del Juzgado de lo Penal núm. 2 de Burgos.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