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4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715-2021, promovido por Euroinversiones Inmobiliarias Costa Sur, S.L., en el procedimiento de ejecución hipotecaria núm. 377-2018, del Juzgado de Primera Instancia e Instrucción núm. 4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febrero de 2021,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4 de Lorca en el procedimiento de ejecución hipotecaria núm. 377-2018, en fechas 15 de noviembre de 2018 y 27 de noviembre de 2019, por los que, respectivamente, se inadmitió por extemporánea la oposición a la ejecución hipotecaria y se confirmó esta última decisión al ser desestimado el recurso de reposición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337-2018 promovido por la entidad Banco de Sabadell, S.A., frente a la sociedad Euroinversiones Inmobiliarias Costa Sur,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a la sociedad demandada. El citado auto y el decreto de la misma fecha fueron comunicados a la indicada entidad a través de la sede judicial electrónica el día 22 de junio de 2018. El mismo día, el servicio de notificaciones electrónicas de la Fábrica Nacional de Moneda y Timbre remitió a la demandante de amparo, a través de la dirección electrónica habilitada, una notificación del siguiente tenor: “[L]a Notificación estará disponible en su dirección electrónica habilitada única desde el 22 de junio de 2018 hasta el 7 de agosto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presentó escrito de oposición a la ejecución despachada en fecha 29 de agosto de 2018. Por auto 15 de noviembre de 2018 se acordó su inadmisión por presentación extemporánea, al considerarse que había transcurrido el plazo de diez días previsto en 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demandante interpuso recurso de reposición contra el auto de inadmisión indicado. Tras su tramitación, el recurso fue desestimado por auto de 27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su derecho a la tutela judicial efectiva sin indefensión (art. 24.1 CE), en su vertiente de acceso al proceso. Considera que la interpretación ofrecida en los autos objeto de impugnación priva a la recurrente del derecho a formular oposición en un proceso de ejecución hipotecaria. Aduce que siguió la literalidad de las instrucciones contenidas en un correo electrónico que recibió procedente del servicio de notificaciones electrónicas, y que accedió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que el órgano judicial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 respecto alega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julio de 2021, la Sección Tercera de este tribunal acordó admitir a trámite el recurso de amparo.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9 de julio de 2021, la parte demandante formuló sus alegaciones en las que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3 de septiembre de 2021. En síntesis, interesa que se acuerde la anotación preventiva de la demanda en el registro de la propiedad. Tras compendiar la doctrina constitucional relativa a la suspensión prevista en el art. 56 LOTC, sostiene que en el presente supuesto procede dar la misma respuesta que la que se ofrece en los AATC 27/2020 y 28/2020, ambos de 28 de febrero, FJ 3; y que conforme a lo razonado en dichas resoluciones procede no acceder a la suspensión de la ejecución solicitada y, en su lugar, acordar la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377-2018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106/2017, de 17 de julio, y 28/2020, de 23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así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217/2012, de 26 de noviembre, FJ 2; 21/2018, de 5 de marzo, FJ 5; 88/2018, de 17 de septiembre, FJ 5, y 27/2020, de 23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377-2018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