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13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874-2021, promovido por doña Guiomar Gazeau García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febrero de 2021, el procurador de los tribunales don Jacobo Gandarillas Martos, en nombre y representación de doña Guiomar Gazeau García, y bajo la dirección letrada de don Carlos Pablo Ferrándiz Gabriel, interpuso recurso de amparo contra el auto de 11 de enero de 2021, dictado por el Juzgado de Primera Instancia núm. 9 de Barcelona en el procedimiento de ejecución de títulos judiciales núm. 1292-1991, por el que se desestima el incidente de nulidad de actuaciones promovido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núm. 9 de Barcelona se sigue procedimiento de ejecución hipotecaria núm. 1292-1991, promovido por la entidad Banco de Bilbao Vizcaya, S.A., dirigido contra la prestataria Ocime, S.A., y los fiadores sociales, don Armando Díaz Cubero, doña Carmen Barnet Torrent, don Julio Avendaño Rodríguez y doña Guiomar Gazeau García, si bien el crédito litigioso se ha cedido varias veces, siendo su titular actual y sosteniendo el procedimiento de ejecución don Joan Marc Ponsdomenech.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declarar en rebeldía a los demandados, el Juzgado de Primera Instancia núm. 9 de Barcelona dictó sentencia de remate el 13 de marzo de 1992, ordenando seguir la ejecución contra los bienes de la prestataria y sus fiadores.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23 de enero de 2020, doña Guiomar Gazeau García, actual demandante de amparo, se personó en el procedimiento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8 de julio de 2020, el Juzgado de Primera Instancia núm. 9 de Barcelona dictó auto por el que desestimaba el recurso de reposición planteado previamente por otro ejecutado frente a un auto de 26 de noviembre de 2019, al considerar que la resolución recurrida no era susceptible de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Frente al auto de 8 de julio de 2020, doña Guiomar Gazeau García promovió la nulidad de actuaciones, denunciando la vulneración de su derecho a la tutela judicial efectiva por varios motivos, así como el carácter abusivo de la cláusula quinta, relativa a los intereses de demora, invocando expresamente la STC 31/2019 en relación con el deber del órgano judicial de conocer, de oficio o a instancia de parte, del posible carácter abusivo de una cláusula contractual.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Primera Instancia núm. 9 de Barcelona desestimó la petición de nulidad mediante auto de 11 de enero de 2021, razonando que no es objeto del incidente de nulidad de actuaciones el examen del eventual carácter abusivo de cláusulas contractuales, rechazando también el resto de alegaciones formuladas, sin perjuicio de que pudiera la parte “volver a plantearlas a través del adecuado cauce”.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del derecho a la tutela judicial efectiva (art. 24.1 CE), en relación con el art. 14.1 CE, porque la decisión judicial ha supuesto una selección irrazonable y arbitraria de la norma aplicable al proceso, y considera que el órgano judicial debe pronunciarse sobre el carácter abusivo de la cláusula. Alega también la vulneración del derecho a la tutela judicial efectiva (art. 24.1 CE) en relación con el derecho de acceso a la justicia por haber entendido el juez que el incidente de nulidad no es el cauce adecuado para realizar un examen del carácter abusivo de la cláusula mediante una decisión arbitraria que dificulta extraordinariamente el acceso a la jurisdicción, invocando, asimismo, el incumplimiento de la Directiva 93/13/CEE y del principio de primacía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y en virtud del art. 56.2 de la Ley Orgánica del Tribunal Constitucional (LOTC), solicita la suspensión de la ejecución del auto de 11 de enero de 2021, así como de la vía de apremio que se sigue tramitando en el procedimiento de ejecución de títulos judiciales, por causarle un perjuicio irreparable, ya que se le embargó la mitad indivisa de la finca registral núm. 4560 del registro de la propiedad de Torredembarra, encontrándose en la actualidad en trámite de certificación de dominio y cargas para seguir la vía de apremio, y pendiente del nombramiento de perito tasador para su subasta. A la vista de ello, es evidente que la ejecución de la resolución le causaría un perjuicio irreparable, pues se subastaría la vivienda sin posibilidad de recuperación, de transmitirse a un tercero de buena fe, sin que, por otro lado, la suspensión suponga perturbación grave para los intereses generales, si se tiene presente que el proceso ejecutivo se inició en el año 1991, detenido durante más de diez años sin actividad procesal alguna, y que el hoy ejecutante es el tercer adquirente del crédito transmitido en su día por el Banco Bilbao Vizcaya.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octubre de 2021, la Sección Segunda de este tribunal acordó admitir a trámite el recurso de amparo y dirigir atenta comunicación al Juzgado de Primera Instancia núm. 9 de Barcelona, a fin de que, en plazo que no excediera de diez días, remitiera certificación o fotocopia adverada de las actuaciones correspondientes al procedimiento de ejecución de títulos judiciales núm. 1292-1991, previo emplazamiento de quienes hubieran sido parte en el proceso del que trae causa el presente recurso de amparo, excepto la parte recurrente en amparo, para que pudieran comparecer en el mismo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con el testimonio del recurso de amparo la pieza separada de suspensión y, conforme a lo dispuesto en el art. 56 LOTC, concedió un plazo común de tres días a la parte solicitante de amparo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registrado el 29 de octubre de 2021, la parte recurrente presentó sus alegaciones, ratificándose en la petición de suspensión, porque, de celebrarse la subasta de los dos bienes inmuebles de la recurrente que han sido embargados (a la finca reseñada en el escrito de demanda se ha unido, como mejora de embargo, la mitad indivisa de la finca núm. 1978, inscrita en el Registro de Propiedad núm. 1 de Barcelona), se causaría un daño irreparable para la finalidad del recurso de amparo, ya que la vía de apremio se sigue por una suma que incluye los intereses de demora, que se consideran abusivos, de acuerdo con el criterio del Tribunal Supremo. Se ofrece como garantía un aval bancario para dar cobertura al posible perjuicio que pudiera causar este retraso en la vía de apremio para el caso de no prosperar el recurso de amparo, por una cuantía equivalente a dos años de interés legal de demora.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presentado el 5 de noviembre de 2021, formuló alegaciones en sentido contrario a la suspensión cautelar solicitada. Tras exponer la doctrina constitucional en la materia, considera que, en este caso, no se puede afirmar que la continuación del procedimiento judicial, incluso con desplazamiento posesorio, provoque un perjuicio determinante de la pérdida de la finalidad del recurso de amparo, y propone alternativamente que se acuerde la anotación preventiva de la demanda de amparo en el registro de la propiedad, en virtud de lo previsto en el art. 56.3 LOTC. De esta manera se daría publicidad a los terceros de la pendencia del recurso y de los efectos que puede tener el otorgamiento del amparo sobre la titularidad de la finca, evitando un supuesto de irreivindicabilidad del tercero adquirente de buena fe. En este caso, atendido el contenido de la demanda de amparo, y de no adoptarse la medida de anotación preventiva de la demanda, la tutela que pudiera otorgarse por el Tribunal Constitucional no sería completa, ante la posibilidad de que la vivienda sea transmitida a un tercero de buena fe.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las medidas provisionales de suspensión del procedimiento de ejecución de títulos judiciales núm. 1292-1991 cuestionado, y de anotación preventiva de la demanda de amparo en el registro de la propiedad, interesadas la primera por la demandante de amparo y la segunda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la demandante de amparo que la continuación del procedimiento de ejecución del título judicial, con una posible adjudicación de los inmuebles embargados, podría producir un perjuicio irreparable que haría perder al amparo su finalidad, porque el control judicial del carácter abusivo de la cláusula incide sobre la suma por la que se sigue la ejecución. El fiscal no aprecia la necesidad de acordar la suspensión, entendiendo, más bien, que procedería anotar preventivamente la demanda de amparo en el registro de la propiedad para evitar que pueda producirse un supuesto de irreivindicabilidad de un tercero adquirente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este tribunal ha entendido por perjuicio irreparable aquel que provoque que el restablecimiento del recurrente en el derecho constitucional vulnerado sea tardío y convierta el amparo en meramente ilusorio y nominal [por todos, AATC 274/2008, de 15 de septiembre; 26/2009, de 26 de enero; 173/2009, de 1 de junio; 190/2015, de 5 de noviembre, FJ 2 a); 59/2017, de 24 de abril, FJ 1, y 147/2017, de 13 de noviembre, FJ 1].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otros, AATC 44/2008, de 11 de febrero, FJ 1; 59/2008, de 20 de febrero, FJ 1; 67/2008, de 25 de febrero, FJ 1; 109/2008, de 14 de abril, FJ 1; 111/2008, de 14 de abril, FJ 1; 118/2008, de 28 de abril, FJ 1, y 172/2008, de 23 de junio, FJ 1).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perjuicios de carácter patrimonial o económico, hemos señalado que, por más que puedan producir efectos desfavorables a quien demanda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solo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relación con ello, el tribunal viene acordando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 como es el caso, entre otros muchos, de los AATC 220/2008, de 14 de julio, FJ 2, y 64/2009, de 23 de febrero, FJ 2, o los más recientes AATC 56/2013, de 13 de febrero, FJ 2; 74/2013, de 8 de abril, FJ 2; 152/2013, de 8 de julio; FJ 2; 37/2014, de 10 de febrero, FJ 2; 282/2014, de 17 de noviembre, FJ 4, y 59/2015, de 16 de marzo, FJ 2, en los que ha admitido la procedencia de acordar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que se acaba de exponer al caso aquí planteado permite concluir que no resulta procedente la suspensión solicitada. La demandante de amparo afirma que, si no se acuerda la suspensión, podría producirse un perjuicio irreparable porque, en caso de que el juez deba examinar el carácter abusivo de la cláusula de interés de demora, esto puede llevar a que se tenga que reducir la cuantía por la que se sigue la ejecución. En realidad, no se alcanza a apreciar un perjuicio irreparable con base en esta circunstancia, en el sentido de que, de no acordarse la suspensión, el amparo perdiera su finalidad. En su caso, los eventuales perjuicios de carácter patrimonial o económico que pudieran producirse si la demanda de amparo fuera estimada serían susceptibles de ser reparados.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el tribunal entiende, de acuerdo con el fiscal, que las circunstancias que presenta el supuesto sometido a su consideración llevan a estimar la procedencia de acordar la medida cautelar de anotación preventiva de la demanda de amparo en el registro de la propiedad. De este modo, y ante la eventual estimación de la demanda de amparo que pudiera dar lugar a la nulidad de lo actuado en relación con la realización del embargo sobre las fincas de la demandante de amparo, la anotación preventiva de aquella en el registro de la propiedad evitaría el perjuicio derivado de una posible adquisición del bien de modo irreivindicable por un tercero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como se señala en el ATC 95/2015, de 25 de mayo, FJ 4, se trata de una medida cautelar que “este Tribunal, de conformidad con el art. 56 LOTC, puede adoptar de oficio o a instancia de parte, con fundamento en el art. 42.1 de la Ley hipotecaria (AATC 274/2002, de 18 de diciembre; 257/2003, de 14 de julio; 230/2007, de 7 de mayo, FJ 3, y 415/2007, de 5 de noviembre, FJ 4) y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de títulos judiciales núm. 1292-1991, seguido ante el Juzgado de Primera Instancia núm. 9 de Barcelona.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