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17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y don Ramón Sáez Valcárcel, y la magistrada doña Concepción Espejel Jorquera, en el recurso de amparo núm. 6071-2020, promovido por doña Paloma Rodríguez Moya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marzo de 2021, tuvo entrada en el registro general de este Tribunal Constitucional un escrito de la procuradora doña Carmen Catalina Rey Villaverde, en representación de doña Paloma Rodríguez Moya, asistida por el letrado don Luis Martín Más, por el que interpuso recurso de amparo contra la sentencia 619/2020, de 18 de noviembre, de la Sala Segunda del Tribunal Supremo, que desestimó el recurso de casación interpuesto contra el auto de 27 de noviembre de 2019, dictado por la Sección Cuarta de la Sala de lo Penal de la Audiencia Nacional, también impugnado, por el que se desestima la pretensión de revisar la sentencia condenatoria emitida por el Tribunal Superior de lo Penal núm. 11 de Bakirköy (Turquía), que le impuso una pena de quince años y treinta y siete días de prisión por un delito contra la salud pública, que actualmente se encuentra cumpliendo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fue condenada por el Tribunal Superior de lo Penal núm. 11 de Bakirköy (Turquía) a una pena de quince años y treinta y siete días de prisión por un delito contra la salud pública. Los hechos se remontan al 18 de noviembre de 2014, cuando fue interceptada en el Aeropuerto Internacional Atatürk de Estambul (Turquía), transportando en su equipaje un total de 2888 gramos de la sustancia estupefaciente “cocaína”, en un vuelo procedente de Sao Paulo (Brasil).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Previa solicitud de la recurrente, y en aplicación de lo dispuesto en el Convenio europeo sobre el traslado de personas condenadas, hecho en Estrasburgo el 21 de marzo de 1983, se autorizó su traslado a España para el cumplimiento del resto de la pena impuesta. Según la liquidación de condena obrante en el expediente judicial internacional núm. 41-2017, seguido ante la Audiencia Nacional, la fecha de cumplimiento de la pena se producirá el 20 de diciembre de 2029.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en nuestro país, en fecha 4 de junio de 2018 solicitó la revisión de la condena impuesta en Turquía, al amparo de las disposiciones transitorias primera y segunda del Código penal, al entender que la legislación penal española establece una pena más beneficiosa que la legislación turca, en función del tipo delictivo por el que fue condenada en el país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27 de noviembre de 2019, la Sección Cuarta de la Sala de lo Penal de la Audiencia Nacional rechazó la solicitud de la recurrente, por un doble motivo: (i) los términos de la ratificación por España del Convenio sobre el traslado de personas condenadas no permiten la aplicación del “principio de conversión” [art. 9.1 b)] sino el de “prosecución” [arts. 9.1 a) y 10.1], por lo que los tribunales españoles quedan vinculados por la naturaleza jurídica y la duración de la sanción impuesta por el tribunal sentenciador; y (ii) no procede la aplicación de la Ley 23/2014, porque Turquía no es miembro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recurso de casación contra el auto anterior, fue desestimado por la Sala Segunda del Tribunal Supremo en la sentencia 619/2020, de 18 de noviembre. La Sala da respuesta a los dos motivos de casación planteados, rechazando el recurso porque: (i) no existe vulneración del derecho a la igualdad, ya que no hay término de comparación entre sentencias dictadas por tribunales de distintos países conforme a sus propias legislaciones de referencia; y (ii) la Decisión Marco 2008/909/JAI, relativa a la aplicación del reconocimiento mutuo de sentencias en materia penal, no ha podido ser ratificada por Turquía, por la propia naturaleza de tal instrumento, propio de la Unión Europea, de la que Turquía no es parte. Además de lo anterior, tras hacer una reseña de los hechos y de la legislación aplicable, la Sala Segunda considera que no procede hacer uso de la potestad prevista en el art. 10.2 del Convenio sobre el traslado de personas condenadas. Según este precepto, el país de cumplimiento puede adaptar la pena impuesta por el país de enjuiciamiento, si la naturaleza o duración son incompatibles con su legislación. Aunque la Sala admite que nuestro sistema no permite la imposición de una pena como la fijada por el tribunal de Turquía, eso no debe suponer necesariamente su reducción drástica, porque eso supondría un incumplimiento de un compromiso internacional. Por ello, aplicando el criterio orientativo seguido en sus propios precedentes para el caso de penas privativas de libertad (SSTS 322/2018, de 29 de junio y 370/2019, de 23 de julio), el Tribunal Supremo considera que se produce la incompatibilidad descrita cuando la pena impuesta es superior al doble de la que sería imponible en nuestro país. Como quiera que, según la sentencia, la pena impuesta (quince años y treinta y siete días de prisión) no es superior al doble de la pena máxima imponible en España (nueve años de prisión, según disponen los arts. 368 y 369.1.5 Código penal: CP), no procede adaptar la pena, manteniendo los términos de la condena impuesta por el tribunal turco. En cualquier caso, se debe compensar el rigor de la pena impuesta mediante el ofrecimiento de regímenes penitenciarios atenuados existentes en España una vez cumplida la cuarta parte de la condena, con la posibilidad de concesión del régimen abierto a partir del cumplimiento de un tercio, y de la libertad condicional desde que se alcance la observancia de los dos tercios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los siguientes derechos: (i) derecho a la igualdad ante la ley (art. 14 CE), en relación con el derecho a una pena con fines reeducativos y de reinserción social (art. 25.2 CE), y con la prohibición de penas o tratos inhumanos o degradantes (art. 15 CE). Se argumenta que la pena impuesta es notablemente superior a la que se impone normalmente en nuestro país (seis años), sin poner ejemplos concretos; que a otras personas condenadas por el mismo delito y trasladadas entre los mismos países sí se les realizó la adaptación de la pena, sin mayor concreción; y que la comparación de penas realizada por el Tribunal Supremo no tiene sentido, porque la pena impuesta en Turquía es el mínimo previsto en su legislación, que sería superior al doble de la pena mínima imponible en España, que es de seis años; y (ii) derecho a la tutela judicial efectiva (art. 24.1 CE), por no haber resuelto expresamente sobre la pretensión de que se suprimieran los treinta y siete días impuestos por impago de la multa acordada por el tribunal turco, cuando en España no se aplicaría ese arresto ya que la pena privativa de libertad es superior a los cinco años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solicitaba la suspensión del cumplimiento de la pena, como medida cautelar, sin desarrollo argumental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la Sección Cuarta de fecha 4 de octubre de 2021, se acordó la admisión a trámite de este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Además, en la misma resolución se decidió la formación de pieza separada de suspensión. En esta pieza se acordó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15 de octubre de 2021 la demandante de amparo presentó sus alegaciones, en las que interesó la suspensión de la ejecución de la pena privativa de libertad. En su escrito se explica que la recurrente se encuentra disfrutando del tercer grado penitenciario con control telemático, de forma que puede pernoctar en su propio domicilio. Eso implica que sigue cumpliendo una pena privativa de libertad, por lo que de mantenerse esa situación se le podría causar un perjuicio irreparable para el caso de que el recurso de amparo fuera finalmente estimado. Además, considera que debe tenerse en cuenta el tiempo de cumplimiento ya transcurrido, su plena disponibilidad hacia los tribunales y la previsible tardanza en resolverse este recurso. Como argumento añadido, no con carácter principal, también destaca que actualmente trabaja como encargada de un restaurante (aporta contrato, suscrito el 13 de septiembre de 2021 y con vigencia hasta el 31 de enero de 2022) y que las medidas anticovid le obligan a estar comunicando al control telemático los frecuentes cambios de horario, con el trastorno que ello conlleva.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22 de octubre de 2021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referencia a los antecedentes del caso, el fiscal expone la doctrina de este tribunal sobre la ejecutoriedad de las resoluciones judiciales (AATC 45/2001, de 26 de febrero; 64/2001, de 26 de marzo; 238/2004, de 28 de junio; 74/2005, de 14 de febrero, y 32/2008, de 31 de enero) y sus excepciones (AATC 61/2000, de 28 de febrero; 161/2001, de 18 de junio; 58/2002, de 8 de abril). En el ámbito de las penas privativas de libertad, recuerda la especial relevancia concedida al criterio ponderativo de la gravedad de la pena impuesta (ATC 93/2018, de 17 de septiembre, con cita de los anteriores AATC 198/2014, de 21 de julio, y 34/2016, de 15 de febrero), que se concreta en la regla de la no suspensión de las penas superiores a los cinco años de prisión, límite que sirve al legislador penal para diferenciar entre las penas graves y las menos graves (AATC 32/2007, de 12 de febrero; 16/2009, de 26 de enero; 266/2008, de 11 de septiembre, y 50/2010, de 20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fiscal resalta que este parámetro no es absoluto y, con reseña del ATC 59/2020, de 17 de junio, recuerda que “excepcionalmente se ha accedido a la suspensión de penas muy superiores, en atención a […] otros criterios a tener en cuenta en la ponderación, entre ellos el del tiempo de cumplimiento efectivo que reste, en la medida en que el mismo se conecta con el criterio genérico de la pérdida de eficacia del amparo”. En esta línea, cita los ejemplos recogidos en esa resolución, entre los que destacan la suspensión de penas de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 […]”; a los que se añaden los supuestos de “cumplimiento previo de una parte sustancial de las penas impuestas”, con nueva cita de los AATC 126/1998, 235/1999 y 305/2001.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la doctrina general expuesta al caso concreto, el Ministerio Fiscal considera que procede acceder a la medida cautelar solicitada. Aunque la pena impuesta “excede con mucho de los límites habituales […] por los que se concede la suspensión”, entiende que concurren otros elementos de ponderación como son “el cumplimiento parcial de la pena y las expectativas de cumplimiento”. Sobre esa base, valora que la recurrente ha cumplido “casi siete años” de la pena impuesta, es decir, un “periodo muy cercano a la mitad de cumplimiento inicial (7,5 años de los 15 impuestos por la sentencia condenatoria)”, a lo que debe añadirse, según el fiscal, que la “máxima pena a imponer […] sería de 9 años”, por lo que el “tiempo máximo de cumplimiento pendiente en caso de una hipotética concesión del amparo sería de 2 años […], de modo que el posible otorgamiento de amparo haría ineficaz los efectos del mismo. A lo que habría que añadir los posibles efectos positivos y reductores de la condena que podrían derivar, en su caso, de la aplicación de beneficios penitenciarios —régimen abierto y libertad condicional— aludidos por el propio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interesa que se acceda a la medida cautelar de suspensión solicitada por la recurrente, conforme a lo dispuesto en el art. 56.1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o no de la medida cautelar instada por la parte recurrente en amparo, consistente en la suspensión de la ejecución de la pena privativa de libertad impuesta por un tribunal de Turquía, y que actualmente está cumpliendo en España, por aplicación del Convenio para el traslado de personas condenadas, hecho en Estrasburgo el 21 de marzo de 1983. Considera que, una vez admitido a trámite el recurso, la continuación del cumplimiento de la pena le causaría un perjuicio irreparable para el caso de que finalmente se estimara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se ha mostrado favorable a la medida cautelar solicitada, teniendo en cuenta el tiempo de condena ya cumplido y la posible pena máxima a imponer en el caso de que el recurso fuera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señalado este tribunal,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de las penas privativas de libertad, la doctrina constitucional sobre la suspensión cautelar de su ejecución queda expuesta, entre otras resoluciones, en el ATC 95/2019, de 23 de julio, FJ 2, que podemos resumir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suspensión de la ejecución de una pena privativa de libertad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relación con el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No obstante lo anterior, cabe apuntar que el hecho de que la pena de prisión supere los cinco años y, por tanto, sea considerada grave [art. 33.2 b) CP], no siempre constituye una barrera infranqueable para la obtención de la suspensión cautelar. Así, también la declarado este tribunal que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(ATC 18/2011, de 28 de febrero, FJ 2 y las resoluciones que allí se citan). Igualmente, se incluye, entre estos supuestos excepcionales, el del cumplimiento previo de una parte sustancial de la pena privativa de libertad impuesta (AATC 126/1998, de 1 de junio, FJ 4; 235/1999, de 11 de octubre, FJ 2, y 305/2001, de 12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al presente caso de la doctrina expuesta conduce a la desestimación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justifica su petición en los perjuicios irreparables que se le causarían si se continuara la ejecución de la pena impuesta, en el supuesto de que se estimara finalmente el recurso. El fiscal apoya esta petición señalando que la recurrente ya ha cumplido casi la mitad de la pena impuesta y que, en el caso de que se estimara el recurso, le quedaría por cumplir un máximo de dos años de prisión, que es inferior al límite penológico de cinco años establecido como criterio orientativo por este tribunal para acordar o no la suspensión de este tipo de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primero que interesa resaltar es que la demanda de amparo no alega formalmente la vulneración del derecho fundamental que se encontraría en juego a la hora de ponderar la adopción de la medida solicitada, que no es otro que el derecho a la libertad (art. 17.1 CE). Como se ha expuesto en los antecedentes de esta resolución, la demanda invoca la protección del derecho a la igualdad (art. 14 CE) y del derecho a la tutela judicial efectiva (art. 24.1 CE). No obstante, las referencias contenidas en el escrito rector de este procedimiento, en cuanto a la posible conexión del derecho a la igualdad con los derechos a la reeducación y reinserción social de las penas (art. 25.2 CE) y la prohibición de penas o tratos inhumanos o degradantes (art. 15 CE), nos remiten al bien jurídico principalmente afectado por este tipo de respuesta penal, que no es otro que el derecho a la libertad personal (art. 17.1 CE). Por lo tanto, aunque la medida cautelar no estaría formalmente asociada al derecho fundamental invocado en la demanda, su indudable conexión debe llevarnos a “la huida de un excesivo formalismo en la interpretación del art. 56 LOTC, ajeno a los importantes intereses que se hallan en juego en estas piezas de suspensión, [que] aconsejan la incardinación de la solicitud en dicho precepto y por ello, la consideración de su fondo” (ATC 39/1997, de 10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resolución de esta pieza conviene tener en cuenta los siguientes elementos de ponderación: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necesidad de preservar el interés general, concretado en la garantía de la efectividad de las decisiones de los poderes públicos y del aseguramiento de la ejecución de las resoluciones dictadas por jueces y tribunales en el ejercicio de la potestad jurisdiccional, no puede reducirse a las que hayan sido adoptadas por los tribunales españoles, sino que ha de ser predicable de cualquier órgano jurisdiccional cuyas decisiones sean aplicables en nuestro país. Así ocurre en el presente caso, en que una sentencia de un tribunal de Turquía está siendo ejecutada en España, a solicitud de la recurrente, en aplicación de lo dispuesto en el Convenio para el traslado de personas condenadas, hecho en Estrasburgo el 21 de marzo de 1983. Desde su ratificación, llevada a cabo por España mediante instrumento de 18 de febrero de 1985, este convenio pasó a formar parte de nuestro ordenamiento jurídico, de conformidad con lo dispuesto en el art. 96.1 CE, como expresión del principio de confianza mutua entre estados firmantes de un acuerdo internacional. Por lo tanto, la presunción de legitimidad que alcanza a todas las actuaciones de los poderes públicos, abarca no sólo las resoluciones españolas, que son las formalmente impugnadas a través de este recurso, sino también las resoluciones de tribunales extranjeros que deban ser aplicadas en nuestro país, en virtud de tratados internacionales. En consecuencia, la suspensión de la ejecución de una resolución judicial, haya sido dictada por un tribunal español o extranjero, genera una perturbación para el interés general, conforme a la doctrina de este tribunal —ya reseñada—, por lo que se trata de una medida cautelar que debe ser aplicada de forma excepcional.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caso de las resoluciones judiciales que imponen una pena privativa de libertad, la valoración de la gravedad para la perturbación para los intereses generales aparece íntimamente ligada a la gravedad de la pena impuesta, como criterio que engloba la trascendencia social y la entidad de la conducta así como de los bienes jurídicos protegidos por la norma penal. En este supuesto, se debe partir de la base de que la pena impuesta es la de quince años y treinta y siete días de prisión. Esa es la pena fijada por los tribunales de Turquía, y que ha sido aceptada para su ejecución por la jurisdicción española. Nos encontramos ante una pena que, indudablemente, excede del criterio orientativo establecido de manera consolidada por este tribunal, concretado en los cinco años de prisión, como límite a partir del cual se considera que la suspensión de la ejecución de una resolución judicial genera una grave perturbación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obstante, el criterio de la gravedad de la pena impuesta no es de aplicación incondicionalmente automática. Factores como el tiempo de pena ya cumplido, o el que está pendiente de cumplir, han sido igualmente utilizados por este tribunal a la hora de tomar una decisión sobre esta materia. Así lo ha hecho también el Ministerio Fiscal que, en apoyo de la pretensión de la recurrente, hace una ponderación en la que toma en cuenta la pena impuesta, la pena ya cumplida, y la pena que faltaría por cumplir para el caso de que se estimara el recurso y se fijara la pena máxima que sería imponible en nuestro país, en función de las circunstancias del caso concreto. Sin embargo, esta valoración supone una cierta distorsión de los elementos que han de ponderarse en esta fase.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esa comparación implicaría una anticipación del sentido estimatorio del fallo que, como ya se recordó, está vedada en este incidente [por todos, ver ATC 55/2018, de 22 de mayo, FJ 2 c)], porque supondría adentrarnos en la prosperabilidad de la cuestión de fondo o “apariencia de buen derecho”. De acordarse la medida y dejarse sin efecto la pena impuesta se estaría produciendo, de facto, el efecto pretendido con la interposición del recurso, lo que equivaldría a su estimación anticipada. También supondría un análisis conjetural sobre los concretos efectos de una hipotética estimación, cuya determinación corresponde a la jurisdicción ordinaria, ya que no es función de este tribunal la fijación de una concreta sanción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argumental, conviene aclarar que los precedentes invocados no avalan de forma inequívoca la concesión de la medida solicitada, por cuanto no se refieren a supuestos de hecho comparables. En los casos analizados resultaban de aplicación los beneficios contemplados en el Código penal anteriormente vigente, como la redención de penas por el trabajo (art. 100 CP, en su redacción de 1973), cuyo cómputo objetivo permitía hacer una comparación entre la pena impuesta y la que finalmente sería ejecutada, y en la que solo entraba en juego la legislación española. Además, en algunos de aquellos casos, la pena impuesta estaba prácticamente cumplida o su cumplimiento se presentaba como muy cercano.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aunque no menos importante, no puede pasarse por alto el hecho de que, según ha expresado la recurrente en su escrito de alegaciones, esta no se encuentra en la actualidad privada físicamente de libertad, por cuanto goza del tercer grado del régimen penitenciario en unas condiciones que evitan cualquier tipo de estancia en prisión, ya que no solo le permiten realizar una actividad laboral sino también pernoctar en su propio domicilio. Es indiscutible que, en esas condiciones, la pena privativa de libertad está siendo ejecutada, pero en forma atenuada, conforme al régimen penitenciario vigente en nuestro país, tal y como indicó el Tribunal Supremo en la resolución ahora impugnada. La indudable ejecución de la pena no impide apreciar, por tanto, que no se puede hablar de una afectación real y efectiva del núcleo esencial del derecho fundamental invocado, al menos, a los solos efectos de hacer una valoración sobre los elementos de ponderación necesarios para decidir sobre la adopción de la medida cautelar solicitada. La situación física de libertad permite descartar el perjuicio irreparable que se alega, centrado en el efectivo cumplimiento de una pena privativa de libertad que, en realidad, no implica una privación efectiva de ese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