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17 de diciembre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y don Ramón Sáez Valcárcel, y la magistrada doña Concepción Espejel Jorquera, en el recurso de amparo núm. 456-2021, promovido por don Raúl San Mateo Martínez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enero de 2021 tuvo entrada en el registro general de este Tribunal Constitucional un escrito de la procuradora doña Virginia Sánchez de León Herencia, en representación de don Raúl San Mateo Martínez, asistido por el letrado don José Luis Galán Martín, por el que interpuso recurso de amparo contra la providencia de 26 de noviembre de 2020, dictada por la Sala Segunda del Tribunal Supremo, por la que se inadmitió el recurso de casación interpuesto contra la sentencia 155/2020, de 3 de junio, de la Sección Cuarta de la Audiencia Provincial de Navarra, que declaró no haber lugar al recurso de apelación interpuesto contra la sentencia 269/2019, de 9 de diciembre, dictada por el Juzgado de lo Penal núm. 1 de Pamplona, resoluciones judiciales —todas ellas— objeto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fue condenado por el Juzgado de lo Penal núm. 1 de Pamplona, en la sentencia 269/2019, de 9 de diciembre, como autor de un delito contra la integridad moral [art. 173.1 del Código penal (CP)], a una pena de un año y seis meses de prisión, accesorias legales y costas, así como al abono de una indemnización de 15 000 € en concepto de daño moral en favor de la perjudicada por el delito. Los hechos por los que fue condenado se refieren a la creación de un portal web bajo el nombre “tourlaManada.com”, en el que se “ofertaba un paseo guiado por los lugares que los cinco miembros del grupo llamado ‘La Manada’ […] recorrieron con la testigo protegida núm. 1 en la madrugada del 7 de julio de 2016 durante las fiestas de San Fermín en Pamplona”. En el relato de hechos probados se recoge expresamente que, “con anterioridad a la creación de la web [el ahora recurrente] había realizado determinadas actividades reivindicativas frente a los medios de comunicación relacionadas con otro tipo de situaciones”, de manera que “[e]n el presente caso pretendía presuntamente con carácter principal criticar el eco que algunos medios se hacen en ocasiones de determinadas noticias sin adverarlas”. No obstante, se consideró que “en ese contexto, suponiendo objetivamente el contenido de la página web una cosificación de la víctima del delito sexual, una instrumentalización y uso de la misma y de su sufrimiento previo, y despreciando la dignidad de la perjudicada, [el recurrente] asumió conscientemente como consecuencia necesaria el perjuicio que iba a causarle con la creación y publicación de la web. Como consecuencia de lo anterior, la víctima vio agravado el trastorno de estrés postraumático crónico que padece como consecuencia de los hechos sufridos el 7 de julio de 2016”. En esa sentencia se absolvía al ahora recurrente de un delito de odio del art. 510, apartados 2 y 3,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la sentencia del juzgado de lo penal, el ahora recurrente de amparo interpuso recurso de apelación. En su impugnación alegaba la vulneración del derecho a la tutela judicial efectiva (art. 24.1 CE) y a un proceso con todas las garantías (art. 24.2 CE), por la inclusión en el relato de hechos probados de expresiones que predeterminaban el fallo. También se alegó la vulneración del derecho a la tutela judicial efectiva (art. 24.1 CE), al juez imparcial y a un proceso con todas las garantías (art. 24.2 CE), por infracción del principio acusatorio. Del mismo modo, se impugnó la condena alegando la vulneración del derecho a la tutela judicial efectiva (art. 24.1 CE), por incongruencia de los hechos probados, al recoger el término “presuntamente”. Igualmente se alegó la “vulneración de precepto sustantivo”, error en la valoración de la prueba e inaplicación de tipo penal, considerando que los hechos no eran constitutivos del delito previsto en el art. 173 CP, al no existir “hechos objetivamente vejatorios de carácter grave ni existir el elemento subjetivo de dolo”. Finalmente, se invocó la vulneración del derecho a la tutela judicial efectiva (art. 24.1 CE), por error en el cálculo de la pena y no apreciación de la atenuante de reparación del daño, por incongruencia en la valoración de la prueba, error en el criterio para fijar la indemnización por daños morales y desproporción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recurso de apelación fue desestimado por la sentencia 155/2020, de 3 de junio, dictada por la Sección Cuarta de la Audiencia Provincial de Navarra, al considerar que no se daban los presupuestos fácticos y jurídicos que pudieran justificar las vulneraciones alegadas.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Frente a la sentencia de la Audiencia Provincial se interpuso recurso de casación, en el que se invocaban los siguientes motivos: i) infracción de ley, por indebida aplicación del art. 173.1 CP; ii) infracción de ley, por indebida inaplicación de los arts. 21.5 y 66.1.1 CP, en relación con la atenuante de reparación del daño; iii) infracción de ley, por indebida inaplicación de los arts. 123 y 124 CP y de los arts. 240 y 901 de la Ley de enjuiciamiento criminal (LECrim), en relación con la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medio de providencia de fecha 26 de noviembre de 2020, la Sala Segunda del Tribunal Supremo acordó no haber lugar a la admisión del recurso de casación en función de los distintos motivos invocados por el demandante, en unos casos por falta de interés casacional y, en otros, por no respetar el relato de hechos probados o por plantear cuestiones de naturaleza probatoria.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han vulnerado los siguientes derechos: i) derecho a la libertad de expresión [art. 20.1 a) CE], por no haber ponderado con carácter previo y de manera suficiente si la conducta enjuiciada quedaba bajo el ámbito del ejercicio legítimo de ese derecho, con cita de la STC 177/2015, entre otras; ii) derecho a la tutela judicial efectiva, sin indefensión (art. 24.1 CE), y a un proceso con todas las garantías (art. 24.2 CE), por la introducción en el relato de hechos probados de expresiones que predeterminaban el fallo; iii) derecho a la presunción de inocencia (art. 24.2 CE), al haber sido condenado sin prueba alguna de cargo sobre la existencia de los elementos objetivo y subjetivo del tipo penal; iv) derecho a la legalidad penal (art. 25.1 CE), por falta de tipicidad de los hechos declarados probados; y v) derecho a la legalidad penal (art. 25.1 CE), por infracción del principio de proporcionalidad de la pena, en relación con el derecho a la libertad personal (art. 17.1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y por medio de otrosí, se solicitaba la suspensión de la ejecución de la pena impuesta. Se argumentaba, a tal efecto, que el cumplimiento de la sentencia condenatoria causaría perjuicios irreparables para el caso de que, finalmente, se estimara el amparo. Con cita del ATC 95/2019, de 23 de julio, FJ 2, se interesaba que se tuviera en cuenta que la pena impuesta no supera el umbral de los cinco años de prisión utilizado por este tribunal como criterio orientativo para ponderar la gravedad de los hechos y de los bienes jurídicos protegidos. Como motivos complementarios se alegaba la inexistencia de riesgo alguno de elusión a la acción de la justicia, por tratarse de persona sin antecedentes penales ni policiales, plenamente integrada en la sociedad, y padre de una niña de corta edad, así como la ausencia de perjuicio alguno para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providencia de la Sección Cuarta de fecha 25 de octubre de 2021, se acordó la admisión a trámite de este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Además, en la misma resolución se decidió la formación de pieza separada de suspensión. En esta pieza se acordó, por providencia de la misma fecha,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3 de noviembre de 2021 el demandante de amparo presentó sus alegaciones, en las que interesó la suspensión de la ejecución de la sentencia impugnada. En su escrito, tras reiterar los argumentos expuestos en la demanda, se reconoce, no obstante, que la necesidad de la medida cautelar interesada “es menos imperiosa”, porque en fecha 25 de enero de 2021 (aunque notificado con posterioridad) el juzgado de lo penal acordó la suspensión de la ejecución de la pena, si bien sujeta a varias condiciones, entre las que se encuentra el abono de la responsabilidad civil. A pesar de ello, y aun conociendo el criterio de este tribunal en supuestos similares, se insiste en la solicitud de la medida en lo referente a los pronunciamientos de carácter pecuniario. Para el recurrente, el pago de la responsabilidad civil resulta “especialmente gravoso”, ya que se encuentra en situación de desempleo, lo que no impide el pago fraccionado de las cantidades impuestas en la sentencia condenatoria, habiendo ya abonado 4000 € en concepto de responsabilidad civil y 3500 € para las costas de la acusación particular. Subsidiariamente, solicita que se establezca una caución o afianzamiento para garantizar la restitución de las cantidades abonadas, para el caso de que el recurso fuera estimado. Finalmente, alega que la ejecución de la pena de inhabilitación especial para el derecho de sufragio pasivo “provoca también efectos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5 de noviembre de 2021 tuvo entrada en el registro de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referencia a los antecedentes del caso, la fiscal expone la doctrina de este tribunal sobre la interpretación del requisito del “perjuicio irreparable” (ATC 144/2010), así como sobre la carga de justificar su concurrencia (ATC 147/2017). Del mismo modo, se reseña la jurisprudencia constitucional sobre la suspensión de las penas privativas de libertad, en función de la naturaleza del derecho fundamental afectado (AATC 155/2002, FJ 3; 9/2003, FJ2; 44/2012, FJ 1, y 19/2014, FJ 1). A continuación, se recuerda la especial relevancia concedida al criterio ponderativo de la gravedad de la pena impuesta (AATC 34/2016 y 198/2014), que se concreta en la regla de la no suspensión de las penas superiores a los cinco años de prisión, límite que sirve al legislador penal para diferenciar entre las penas graves y las menos graves. En cuanto a la posible matización sobre el criterio general de suspensión de las penas privativas de libertad de corta duración, se cita el ATC 44/2012, FJ 2, para concluir que, en el presente caso, “no parece concurrir un riesgo de eludir la acción de la justicia, que perturbe el interés general de que la sentencia condenatoria pueda hacerse efectiva, si no prospera el recurso de amparo, atendida la propia duración de la pena […] y las circunstancias personales y familiares”. La fiscal también valora que el recurrente “estuvo en [situación de] libertad provisional” durante la tramitación del procedimiento judicial de origen y que la medida no representa “una desprotección de la víctima”.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Ministerio Fiscal se muestra favorable a la concesión de la medida cautelar solicitada, respecto de la pena privativa de libertad que, según la doctrina del tribunal, debe hacerse extensiva a la pena accesoria de inhabilitación. No obstante, se opone a la suspensión de los pronunciamientos sobre responsabilidad civil, que no fueron expresamente solicitados en la demanda y sobre los que no se ha justificado el perjuicio irreparable que se le podría causar de no accederse a la medida interesada (ATC 95/2019, FJ 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es determinar la procedencia o no de la medida cautelar instada por la parte recurrente en amparo consistente —inicialmente— en la suspensión de la ejecución de la pena privativa de libertad impuesta, que posteriormente se modificó por la solicitud de suspensión de los pronunciamientos sobre responsabilidad civil contenidos en la sentencia condenatoria, por haber sido suspendida la pena de prisión por el juzgado de lo penal. Alega que, una vez admitido a trámite el recurso, la continuación del abono de la responsabilidad civil le resulta especialmente gravoso y que, en todo caso, se debe exigir una caución o fianza para garantizar la restitución de las cantidades ya abonadas, para el caso de que se estime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se ha mostrado favorable a la medida cautelar solicitada inicialmente, oponiéndose —en cambio— a la suspensión de los pronunciamientos sobre responsabilidad civil, al no haberse justificado los perjuicios irreparables derivados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de la Ley Orgánica del Tribunal Constitucional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interpretación combinada de los dos primeros apartados del art. 56 LOTC determina que la regla general es el mantenimiento de la eficacia del acto o resolución impugnados. La suspensión sería una excepción a esa regla general, por lo que los parámetros para su adopción han de estar basados en criterios de interpretación restrictiva. Para acordar la medida cautelar solicitada es necesario realizar un ejercicio de ponderación conjunta de dos circunstancias que, a su vez, han de ser valoradas desde su respectiva y diversa naturaleza. De esta forma, la concurrencia del perjuicio irreparable determinante de la posible pérdida de la finalidad del amparo no puede deslindarse de la previa ausencia de una perturbación grave para un interés constitucionalmente protegido. Dicho de otro modo, la ausencia de esa perturbación es el presupuesto necesario para que pueda entrar a valorarse la existencia de un perjuicio irreparable para el recurrente. Los términos del art. 56.2 LOTC no ofrecen duda al respecto. La medida cautelar de suspensión de la ejecución de la resolución impugnada ha de estar orientada a evitar que el amparo pierda su finalidad, “siempre y cuando” la suspensión no ocasione una perturbación grave a un interés constitucionalmente protegido. La concurrencia de esa perturbación impide la adopción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señalado este tribunal,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(ATC 137/2017, de 16 de octubre,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noción de “perjuicio irreparable”, debe entenderse como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es doctrina general de este tribunal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(ATC 93/2018, de 17 de septiembre, FJ 1, y los autos allí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aplicación al presente caso de la doctrina expuesta conduce a la desestimación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no procede suspender la ejecución de la pena de prisión impuesta porque no se aprecia riesgo alguno para el derecho fundamental afectado en este caso, que es el derecho a la libertad personal (art. 17.1 CE). La pena privativa de libertad fue suspendida por auto de 25 de enero de 2021, dictado por el Juzgado de lo Penal núm. 1 de Pamplona en la fase de ejecución de la sentencia condenatoria, ahora impugnada. Este auto fue aportado por el recurrente en el trámite de alegaciones formalizado en esta pieza separada, por lo que no pudo ser tenido en cuenta por el Ministerio Fiscal en su dictamen. Por lo tanto, no se puede hablar de una afectación real y efectiva del núcleo esencial del derecho fundamental invocado, al menos, a los solos efectos de hacer una valoración sobre los elementos de ponderación necesarios para decidir sobre la adopción de la medida cautelar solicitada. Se constata la ausencia de un posible perjuicio irreparable que determina la improcedencia de la medida cautelar solicitada inicialmente, por falta de uno de los presupuestos previstos para ello en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tampoco procede suspender la ejecución del resto de pronunciamientos contenidos en la sentencia impugnada. En lo referente a la pena accesoria de inhabilitación especial, porque no se ha aportado justificación o principio de prueba alguno sobre los posibles perjuicios irreparables que se derivarían de la desestimación de la pretensión ahora formulada. Y en lo relativo a la responsabilidad civil porque, como reconoce el recurrente, es conocida la doctrina general de este tribunal —ya expuesta—, que no ha sido desvirtuada por la argumentación ofrecida en la demanda ni en el escrito de alegaciones presentado en esta pieza separada. Los fallos judiciales que producen efectos meramente patrimoniales admiten la restitución íntegra de lo ejecutado, sin que el recurrente haya justificado la realidad de los posibles perjuicios irreparables que, en consecuencia, solo pueden considerarse como meramente hipotéticos.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