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6952-2021, promovido por don Mohamed Achraf, en relación con el auto de 16 de septiembre de 2021 de la Sección Primera de la Sala de lo Penal de la Audiencia Nacional, en el recurso de apelación núm. 547-2021,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el auto núm. 679/2021, de 16 de septiembre, dictado por la Sección Primera de la Sala de lo Penal de la Audiencia Nacional, que desestimó el recurso de apelación núm. 547-2021, interpuesto contra el auto del Juzgado Central de Menores en funciones de vigilancia penitenciaria núm. 1949/2021, de 19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12 de enero de 2022, el magistrado don Ramón Sáez Valcárcel comunicó a los efectos oportunos que se abstenía de intervenir en el antes indicado recurso de amparo, de conformidad con el art. 80 de la Ley Orgánica del Tribunal Constitucional (LOTC) y el art. 219.11 de la Ley Orgánica del Poder Judicial (LOPJ), por entender que concurría la causa 11 del art. 219 LOPJ (haber resuelto el pleito o causa en anterior instancia), por haber formado parte, en su condición de integrante de la Sección Primera de la Sala de lo Penal de la Audiencia Nacional, del órgano judicial que dictó el auto núm. 679/2021, de 16 de septiembre, impugnado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Ramón Sáez Valcárcel, en virtud de lo previsto en los arts. 80 LOTC y 221.4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6952-2021,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