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14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el magistrado don Enrique Arnaldo Alcubilla, en el recurso de amparo núm. 3612-2021, promovido por don David Rodríguez Dosouto, en relación con la sentencia de 12 de noviembre de 2018 de la Sección Primera de la Sala de lo Penal de la Audiencia Nacional, en el rollo de sala núm. 6-2017,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la sentencia núm. 33/2018, de 12 de noviembre, de la Sección Primera de la Sala de lo Penal de la Audiencia Nacional, en el rollo de sala núm. 6-2017, que condenó al recurrente como autor de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14 de febrero de 2022, el magistrado don Ramón Sáez Valcárcel comunicó a los efectos oportunos que se abstenía de intervenir en el antes indicado recurso de amparo, de conformidad con el art. 80 de la Ley Orgánica del Tribunal Constitucional (LOTC)  y el art. 219.11 de la Ley Orgánica del Poder Judicial (LOPJ), por entender que concurría la causa 11 del art. 219 LOPJ (haber resuelto el pleito o causa en anterior instancia), por haber formado parte, en su condición de integrante de la Sección Primera de la Sala de lo Penal de la Audiencia Nacional, del órgano judicial que dictó la sentencia núm. 33/2018, de 12 de noviembre,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de esta Sección Cuarta del Tribunal Constitucional don Ramón Sáez Valcárcel, en virtud de lo previsto en los arts. 80 LOTC y 221.4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Ramón Sáez Valcárcel en el recurso de amparo núm. 3612-2021,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