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4 de abril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6324-2020, promovido por don Jeifry Manuel de la Cruz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21 de diciembre de 2020, tuvo entrada en el registro general de este Tribunal Constitucional un escrito de la procuradora doña Bárbara Sánchez Lorente, en representación de don Jeifry Manuel de la Cruz, asistido por el letrado don David Redondo Artiles, por el que interpuso recurso de amparo contra la providencia de 10 de diciembre de 2020, de la Sala Tercera del Tribunal Supremo, que inadmitió el incidente de nulidad de actuaciones planteado contra la providencia de la misma Sala de fecha 21 de septiembre de 2020, que inadmitió a trámite el recurso de casación interpuesto contra la sentencia 545/2019, de 26 de julio, dictada por la Sala de lo Contencioso-Administrativo del Tribunal Superior de Justicia de Madrid, que desestimó el recurso de apelación interpuesto, a su vez, contra la sentencia 157/2018, de 12 de junio, del Juzgado de lo Contencioso-Administrativo núm. 21 de Madrid que, por su parte, había desestimado el recurso interpuesto contra la resolución de 28 de abril de 2017 de la Delegación del Gobierno de España en la Comunidad de Madrid, por la que se acordó la expulsión del territorio nacional del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28 de abril de 2017, la delegada del Gobierno en la Comunidad de Madrid dictó una resolución por la que se decretó la expulsión del territorio nacional del ahora recurrente, nacional de la República Dominicana, con prohibición de entrada durante tres años, por infracción de lo dispuesto en el art. 53.1 a) de la Ley Orgánica sobre derechos y libertades de los extranjeros en España y su integración social (LOEX): estancia irregular.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Interpuesto el correspondiente recurso contencioso-administrativo, fue desestimado por sentencia 157/2018, de 12 de junio, del Juzgado de lo Contencioso-Administrativo núm. 21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esa resolución se interpuso recurso de apelación, que fue desestimado por la sentencia 545/2019, de 26 de julio, dictada por la Sala de lo Contencioso-Administrativo del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Preparado el correspondiente recurso de casación, fue inadmitido a trámite por medio de providencia de 21 de septiembre de 2020, dictada por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Seguidamente, el recurrente planteó un incidente de nulidad de actuaciones contra la citada providencia, alegando la vulneración del derecho a la tutela judicial efectiva en su vertiente de derecho de acceso al recurso y a la motivación de las resoluciones judiciales. El incidente fue inadmitido a trámite por medio de providencia de 10 de diciembre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han vulnerado los siguientes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Derecho a la tutela judicial efectiva (art. 24.1 CE), en su vertiente de derecho de acceso al recurso. Se considera que la interpretación y aplicación de las causas de inadmisión del recurso de casación han sido rigoristas o excesivamente formalistas, además de arbitrarias o manifiestamente irrazonables.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vulneración del derecho a la tutela judicial efectiva ha determinado que el resto de las infracciones constitucionales alegadas en el recurso de casación no hayan sido reparadas. En concreto: (i) vulneración del derecho a la tutela judicial efectiva (art. 24.1 CE), por error patente en la aplicación de la norma legal; (ii) vulneración del derecho a la tutela judicial efectiva (art. 24.1 CE) y del principio de legalidad sancionadora (art. 25.1 CE), por haberse aplicado indebidamente el procedimiento preferente del art. 63.1 LOEX; (iii) vulneración del derecho a un proceso con todas las garantías (art. 24.2 CE), por infracción del marco normativo español [arts. 53.1 a), 55.1 b) y 57 LOEX], ya que la sanción de expulsión solo procede conforme a parámetros de proporcionalidad y de forma motivada; y (iv) vulneración de los derechos de defensa y presunción de inocencia, en relación con un proceso con todas las garantías (art. 24.2 CE), porque no se notificó la propuesta de resolución y se introdujo un hecho nuevo no incluido en la incoación del expediente.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se solicitó la suspensión de la ejecución de la “resolución recurrida con el objeto de evitar un perjuicio que haga perder al amparo su finalidad”, sin desarrollo argumental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virtud de providencia de la Sección Cuarta de fecha 8 de marzo de 2022, se acordó la admisión a trámite de este recurso de amparo, apreciando que concurre en el mismo una especial trascendencia constitucional [art. 50.1 de la Ley Orgánica del Tribunal Constitucional (LOTC)], “porque el recurso puede dar ocasión al Tribunal para aclarar o cambiar su doctrina, como consecuencia de un cambio en la doctrina de los órganos de garantía encargados de la interpretación de los tratados y acuerdos internacionales a los que se refiere el art. 10.2 CE [STC 155/2009, FJ 2 b)]”. Además, en la misma resolución se decidió la formación de pieza separada de suspensión. En esta pieza se acordó conceder audiencia a la parte recurrente y al Ministerio Fiscal para que manifestaran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14 de marzo de 2022 la representación del demandante de amparo presentó sus alegaciones. Tras reiterar los argumentos expuestos en la demanda, considera que la ejecución de la expulsión decretada por la autoridad gubernativa generaría un perjuicio irreparable o de difícil reparación. Alega que el demandante tiene arraigo en nuestro país, al que accedió como reagrupado (familiar de residente comunitario), es hijo de ciudadana española, tiene un hijo menor de edad —también de nacionalidad española—, y ha disfrutado de permisos de residencia y trabajo. En el escrito se razona que concurre el requisito del periculum in mora, que la medida cautelar solicitada es idónea para asegurar la efectividad de una eventual sentencia estimatoria, y que la expulsión le impediría regularizar su situación para trabajar legalmente en España, además de perder la posibilidad de ejercer la libre deambulación por el territorio Schengen. En cuanto al requisito de la apariencia de buen derecho, se remite al escrito de demanda. Finalmente, señala que la suspensión no supondría ningún perjuicio para los intereses públicos ni implicaría una anticipación del fallo sobre el fondo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21 de marzo de 2021 tuvo entrada en el registro de este tribunal el escrito de alegaciones del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hacer referencia a los antecedentes del caso, el fiscal expone la doctrina de este tribunal sobre la cuestión planteada, con cita y reseña de los AATC 68/2020, de 13 de julio, FFJJ 2 a 4; 114/2016, de 26 de mayo, FJ 2, y 55/2021, de 10 de mayo,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aplicación de esa doctrina, el Ministerio Fiscal considera que procede acceder a la medida cautelar solicitada, ya que “atendiendo al conjunto de circunstancias”, la ejecución de la expulsión “podría conllevar perjuicios de carácter personal, económico y familiar, con eventual afectación de menor de edad”, sin que se aprecie una perturbación grave de los intereses generales ni de derechos de terceros, conforme a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24 de marzo de 2022, la Sección Cuarta de este tribunal acordó, por medio de providencia, recabar de la Delegación del Gobierno en Madrid información actualizada de la situación administrativa del recurrente en el territorio nacional. En respuesta a esta petición, al día siguiente se informó que el Juzgado de lo Contencioso-Administrativo núm. 21 de Madrid había dictado en su día el auto 240/2017, de 22 de diciembre, acordando la suspensión de la resolución administrativa impugnada, por lo que hasta el momento no se ha ejecutado la expulsión decretada contra el ahora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es determinar la procedencia o no de la medida cautelar instada por la parte recurrente en amparo, consistente en la suspensión de la ejecución de la resolución administrativa por la que se acordó su expulsión del territorio nacional. Considera que, una vez admitido a trámite el recurso, la ejecución de esa sanción le causaría un perjuicio irreparable para el caso de que finalmente se estimara el amparo, con afectación personal, familiar, laboral y social. Por su parte, el Ministerio Fiscal se ha mostrado favorable a la medida cautelar solicitada, por los motivos ya expuestos en los antecedentes de esta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2,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combinada de los dos primeros apartados del art. 56 LOTC determina que la regla general es el mantenimiento de la eficacia del acto o resolución impugnados. La suspensión sería una excepción a esa regla general, por lo que los parámetros para su adopción han de estar basados en criterios de interpretación restrictiva. 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 La concurrencia de esa perturbación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ha señalado este tribunal, cuando el amparo constitucional se solicita respecto de resoluciones judiciales firmes, la suspensión de su ejecución entraña siempre, en sí misma, “una perturbación de la función jurisdiccional, que comprende la potestad de hacer ejecutar lo juzgado (art. 117.3 CE). Consecuentemente, la regla general debe ser la improcedencia de la suspensión, que se configura así como una medida provisional de carácter excepcional y de aplicación restrictiva” (ATC 137/2017, de 16 de octubre,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es doctrina general de este tribunal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caso de las resoluciones de expulsión, la jurisprudencia constitucional ha reiterado que su ejecución “podría convertir en ilusoria una eventual concesión del amparo, porque, por un lado, lo que se trataría de impedir con el recurso ya habría tenido lugar y, por otro, pese a que una eventual concesión del amparo pudiera tener como consecuencia la posibilidad de que el recurrente regresase a nuestro país, los perjuicios de carácter personal, económico y familiar serían de imposible resarcimiento” (AATC 82/1999, de 12 de abril, FJ 2; 356/2008, de 10 de noviembre, FJ único; 156/2010, de 15 de noviembre, FJ único; 66/2012, de 16 de abril, FJ 2; 116/2013, de 20 de mayo, FJ 2; 90/2015, de 25 de mayo, FJ 2; 47/2016, de 29 de febrero, FJ 2, y 133/2016, de 22 de junio, FJ 2). Doctrina reiterada en los más recientes AATC 40/2021, de 19 de abril, FJ 2, y 55/2021, de 10 de mayo,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presente caso, el recurrente justifica su petición en los perjuicios irreparables que se le causarían si se continuara la ejecución de la resolución de expulsión, en el supuesto de que se estimara finalmente el recurso. Por su parte, el Ministerio Fiscal apoya la concesión de la medida cautelar, por los motivos ya expuestos.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resolución de esta pieza, es necesario valorar la eventual concurrencia de los perjuicios irreparables que invoca el recurrente en la demanda de amparo. A este respecto, y de conformidad con la doctrina de este tribunal, hemos de reconocer la existencia del alegado perjuicio irreparable que la no adopción de la suspensión cautelar supondría para el recurrente, toda vez que la ejecución del acuerdo de expulsión determinaría que una eventual concesión posterior del amparo, aparte de poder llegar a resultar ilusoria, le podría ocasionar unos perjuicios de carácter personal, económico y familiar de imposible resarcimiento, aunque el ahora demandante de amparo llegara a regresar a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sin que ello suponga prejuzgar la cuestión de fondo planteada, de la documentación obrante en las actuaciones se puede deducir la afectación de derechos de terceras personas, entre los que se encuentra un menor de edad, lo que conduce a la ponderación de la posible concurrencia de un bien constitucionalmente protegido (art. 39.4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hemos de apreciar también que no concurre en el presente caso una grave perturbación para los intereses generales. De hecho, según el informe remitido por la Delegación del Gobierno en Madrid, la expulsión ha estado suspendida desde el año 2017, por decisión del Juzgado de lo Contencioso-Administrativo núm. 21 de Madrid. Una decisión que se ha mantenido a lo largo de este tiempo, pero que podría modificarse radicalmente si no se adoptara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medida interesada se revela como ajustada a los presupuestos y a la finalidad prevista en el art. 56, apartados 1 y 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 la resolución de la delegada del Gobierno en la Comunidad de Madrid, dictada en fecha 28 de abril de 2017 en el marco del expediente sancionador núm. 280020170005656, por la que se acordó la expulsión del recurrente del territorio nacional con la prohibición de entrada en España por un periodo de tres años.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