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5926-2021, promovido por don Francisco Bruges Fontane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2021, don Francisco Bruges Fontane, representado por la procuradora de los tribunales doña Ana María del Rocío Porras Pulido, bajo la dirección del letrado don Santiago María López García, interpuso recurso de amparo contra la sentencia núm. 573/2021, de 30 de junio, dictada por la Sala de lo Penal del Tribunal Supremo en el recurso de casación núm. 10033-2021, desestimatoria del recurso de casación interpuesto frente a la sentencia núm. 15/2020, de 16 de diciembre, dictada por la Sala de Apelación de la Audiencia Nacional en el rollo de sala recurso de apelación núm. 15-2020, a su vez desestimatoria del recurso de apelación interpuesto contra la sentencia núm. 13/2020, de 28 de julio, dictada por la Sección Primera de la Sala de lo Penal de la Audiencia Nacional en el rollo de sala núm. 2-2019, dimanante del sumario núm. 1-2019, del Juzgado Central de Instrucción núm. 1,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27 de abril de 2022, la magistrada doña Concepción Espejel Jorquera comunicó su voluntad de abstenerse en el conocimiento del presente recurso de amparo por entender que concurría la causa undécima del art. 219 de la Ley Orgánica del Poder Judicial (LOPJ), al haber formado parte, en su condición de presidenta de la Sección Primera de la Sala de lo Penal de la Audiencia Nacional, del órgano judicial que dictó la sentencia núm. 13/2020, de 28 de julio, resolución que, junto con otras,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sentencia dictada en primera instancia que es impugnada en amparo, está incursa en la causa undécima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5926-2021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