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13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8216-2021, promovido por la entidad Babé y Cía., S.L., en litigio social,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2021 tuvo entrada en el registro general de este Tribunal Constitucional un escrito de la procuradora de los tribunales doña Patricia Díaz Muiño, en representación de la entidad Babé y Cía., S.L., asistida por el letrado don Francisco Alejandro Lorente Blanco. En ese escrito se interpuso demanda de amparo contra la sentencia 1483/2020, de 19 de octubre, dictada, en el marco del recurso de suplicación núm. 1257-2020, por la Sala de lo Social del Tribunal Superior de Justicia de Castilla y León (sede de Valladolid), por la que se inadmitió el recurso interpuesto por la ahora recurrente de amparo; y contra el posterior auto de 10 de noviembre de 2021 de la Sala de lo Social del Tribunal Supremo, por el que se declaró la inadmisión del recurso de casación para la unificación de doctrina interpuesto contra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marco del procedimiento de ejecución de títulos judiciales núm. 93-2018, el Juzgado de lo Social núm. 3 de León dictó el auto de 16 de agosto de 2019, por el que se declaró extinguida la relación laboral que unía a don Simón Ronda Albala con las empresas Babé y Cía., S.L., y González Fierro, S.A., así como al pago, solidariamente, de una determinada cantidad en concepto de indemnización, con descuento de los abonos ya realizados. En su fundamentación, el juzgado justifica su decisión en que, una vez decretada en un procedimiento anterior la readmisión del trabajador por despido nulo, las dos empresas habían incurrido en fraude de ley, para impedir el cumplimiento de la obligación de readmisión, al suprimir el centro de trabajo de la entidad González Fierro, S.A., ubicado en el lugar de residencia del trabajador (León), y le habían asignado un destino en la localidad de Redondela (Pontevedra), situada a casi 400 kilómetros de distancia, donde se encuentra la sede social de la entidad Babé y Cía., S.L. El posterior recurso de reposición fue desestimado por medio de auto de 8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empresas ejecutadas anunciaron la interposición de un recurso de suplicación contra el citado auto, consignando la entidad ahora recurrente el correspondiente depósito para recurrir y aportando un aval bancario por la cantidad que entendía como debida. Por diligencia de ordenación de 30 de octubre de 2019, el juzgado tuvo por anunciado el citado recurso, al entender cumplidos todos los requisitos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instancias del trabajador, se dictó una nueva diligencia de ordenación en fecha 11 de diciembre de 2019, por la que el letrado de la administración de justicia acordó requerir a las empresas recurrentes para que completaran la consignación con unas cantidades adicionales. En el caso de la entidad ahora recurrente, a la cantidad inicialmente avalada (88 158,67 €), se debía añadir un total de 99 166,18 € más. A tal efecto, se les concedió un plazo de cinco días hábiles, con la advertencia de que, en caso de no efectuar la consignación, se pondría fin al trámite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13 de diciembre de 2019, es decir, dentro de esos cinco días, la entidad Babé y Cía., S.L., presentó un escrito ante el Juzgado de lo Social solicitando una ampliación del plazo concedido. Ante esta petición, el letrado de la administración de justicia dictó en fecha 17 de diciembre de 2019 una nueva diligencia de ordenación por la que se accedía a lo interesado, “invocando el principio de seguridad jurídica y el elevado importe del aval bancario solicitado”. El plazo fue ampliado en cinco días hábiles más, que debían sumarse a los inicialmente concedidos. Dentro del nuevo plazo ampliado, la entidad Babé y Cía., S.L., aportó un aval bancario por la cantidad total requerida. El recurso de esta entidad se consideró debidamente formalizado por diligencia de ordenación de 13 de enero de 2020. La otra empresa no completó la consignación.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del trabajador impugnó la diligencia de concesión del nuevo plazo, recurso que fue desestimado por el letrado de la administración de justicia por medio de decreto de 7 de julio de 2020. En su resolución, el letrado de la administración de justicia justificó la ampliación del plazo en que “ambas empresas habían presentado sendos avales en tiempo y forma, si bien insuficientes […], [en] la cantidad del aval y el periodo navideño en que coincidió [el] requerimiento”. Este decreto no fue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recurso de suplicación fue inadmitido por la Sala de lo Social del Tribunal Superior de Justicia de Castilla y León (Valladolid), en sentencia de 19 de octubre de 2020. En su resolución, la Sala considera que el principio de improrrogabilidad de los plazos [arts. 43.3 de la Ley reguladora de la jurisdicción social y 134.1 de la Ley de enjuiciamiento civil (LEC)] impedía conceder la ampliación solicitada por la entidad recurrente. La excepción contemplada en el art. 134.2 LEC ha de ser interpretada en sentido restrictivo, por lo que solo admite la interrupción o demora (que no ampliación) por causa de fuerza mayor que, en este caso, a juicio de la sala, no concurría. Por lo tanto, considera que la consignación de las cantidades fue llevada a efecto fuera de plazo, por lo que el recurso debía ser inadmitido, sin entrar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sentencia dictada por el Tribunal Superior de Justicia fue impugnada en casación para unificación de doctrina, recurso que fue inadmitido por sentencia de la Sala de lo Social del Tribunal Supremo de fecha 10 de noviembre de 2021, al no apreciarse identidad entre la sentencia impugnada y la aportada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Notificada la anterior resolución se interpuso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del derecho a la tutela judicial efectiva sin indefensión (art. 24.1 CE), en su vertiente de derecho de acceso al recurso; en relación con el derecho a no sufrir discriminación (art. 14 CE) y 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se hace una reseña de los antecedentes de hecho que consideró de interés, entre los que destaca su discrepancia con la cuestión de fondo planteada en el procedimiento ante la jurisdicción social, asegurando que el auto de 16 de agosto de 2019 incurre en el error de considerar que el trabajador ejercía como conductor, cuando en realidad era jefe de servicio, por lo que no podía asignársele un destino en León, ya que la empresa carece de sede en esa ciudad. Con independencia de lo anterior, la parte recurrente sostiene que su actuación no merece reproche alguno y mucho menos el efecto que le asigna el Tribunal Superior de Justicia (la inadmisión de su recurso sin entrar en el fondo). Si la diligencia de ordenación de 17 de diciembre no hubiese accedido a la ampliación del plazo para subsanar la consignación, el recurrente habría tenido la oportunidad de cumplir el plazo inicialmente concedido, a sabiendas de que, si no lo hacía, el recurso de suplicación sería inadmitido. Sin embargo, al admitirse la ampliación, esa parte actuó en la confianza legítima de que su comportamiento estaba ajustado a Derecho. Se hace mención también del derecho a la intangibilidad de las resoluciones firmes (con cita de las SSTC 119/1989 y 142/1992), indicando que el derecho fundamental reconocido en el art. 24.1 CE actúa como límite que impide a los tribunales revisar las sentencias y demás resoluciones firmes al margen de los supuestos taxativamente previstos por ley, incluso en la hipótesis de que, con posterioridad entendieran que la decisión judicial no es ajustada a la legalidad (cita, entre otras, la STC 34/1993).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si nuestro ordenamiento permitiese que, una vez concedida una ampliación de plazo por el órgano competente para ello, y firme la decisión, pudiese valorarse de nuevo la pertinencia o no de dicha decisión firme, se estaría generando una absoluta inseguridad a las partes que obren según los dictados de los órganos judiciales. El instituto de la firmeza derivaría en inútil y se dotaría a nuestro sistema judicial de una gran fragilidad e inseguridad. Cita, sobre el principio de seguridad jurídica, las SSTC 27/1981, 46/1990 y 193/2009. En conclusión, desde el momento en el que se le reconoció por el letrado de la administración de justicia la concesión de una ampliación del plazo, y la resolución que contenía esa decisión devino firme, debería tener la certeza de que tal decisión no va a poder ser reexaminada de nuevo. Máxime cuando de esa decisión pende la admisibilidad o no del recurso que se pretende interponer y la conducta de la parte ha sido irreprochable. Pero, incluso en el caso de estimarse que la ampliación del plazo fue indebida, la única forma de no vulnerar el derecho a la tutela judicial efectiva de la recurrente sería la retroacción del proceso al momento en el que el letrado de la administración de justicia dictó su diligencia concediendo la ampliación del plazo, no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motivo de especial trascendencia constitucional se alegó que el recurso daba oportunidad al tribunal de abordar una cuestión novedosa [apartado a) del FJ 2 de la STC 155/2009], como era valorar si la inadmisión de un recurso por incumplimiento de los plazos de subsanación, cuando existe una resolución judicial firme que otorga la ampliación de tal plazo y la parte lo cumplimenta dentro del mismo, vulnera o no su derecho a la tutela judicial efectiva. En el marco de la justificación de este presupuesto procesal, la demanda considera que en este caso se vería también afectado el derecho a la igualdad de los administrados. La privación a cualquier administrado del derecho a obtener la tutela judicial efectiva supone una discriminación por el hecho de haber seguido las indicaciones del órgano judicial. Y tal discriminación no tendría justificación alguna, porque esa parte no actuó de forma temeraria ni imprudente, sino dentro de los derechos que le confiere la ley, solicitando al letrado de la administración de justicia la ampliación del plazo para consignar. Por tanto, la desigualdad de trato, respecto a cualquier otro que sí obtenga un pronunciamiento sobre el fondo de un asunto, no tiene justificación legítima y no debe ser consentida.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la “suspensión cautelar del fallo contenido en las sentencias recurridas”, con fundamento en el art. 56 de la Ley Orgánica del Tribunal Constitucional (LOTC), considerando que se dan los presupuestos para la adopción de esa medida cautelar. En primer lugar, la “apariencia de buen derecho”, reiterando los motivos que fundamentan la demanda. En segundo lugar, que las resoluciones impugnadas le causan un “perjuicio de difícil o imposible reparación”. En este punto, expone la actual coyuntura económica de la empresa y del sector del transporte en general. Describe una serie de indicadores como la deuda bancaria, el fondo de maniobra y la previsión de tesorería, aportando las cuentas anuales de la empresa correspondientes al año 2020. Con esos datos, afirma que el pago requerido por los órganos judiciales solo puede afrontarlo mediante financiación externa, que “hoy en día no es capaz” de encontrar, adjuntando la copia de un correo electrónico por el que una entidad bancaria le deniega una operación de “préstamo para cubrir los avales”, sin mayor concreción sobre la misma. En tercer lugar, considera que la medida no “causaría una grave perturbación a los intereses generales o de terceros”, lo que se evidencia por el tiempo ya transcurrido entre el anuncio del recurso de suplicación y el presente recurso. Para la entidad recurrente, desembolsar la cantidad requerida (187 324,85 €), que ya tuvo que avalar para interponer el recurso luego inadmitido, le puede suponer serias dificultades para continuar con la actividad de la empresa, mientras que para el trabajador no sería una suma “necesaria para poder vivir, sino sin duda, para poder vivir más cómodamente”.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la Sección Cuarta de fecha 9 de mayo de 2022, se acordó la admisión a trámite de este recurso de amparo, apreciando que concurre en el mismo una especial trascendencia constitucional (art. 50.1 LOTC), “porque el recurso plantea un problema o afecta a una faceta de un derecho fundamental sobre el que no hay doctrina de este tribunal [STC 155/2009, FJ 2 a)]”.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16 de mayo de 2022 tuvo entrada el escrito de alegaciones de la parte recurrente. En el mismo se reiteran los argumentos expuestos en la demanda, añadiendo que la situación del sector se ha agravado durante los primeros meses del año 2022, por la “subida de precios histórica del combustible y la guerra de Ucrania”, así como el “conocido paro general” que tuvo lugar “desde el 14 de marzo”. Aporta, a tal efecto, un informe de la situación financiera de la empresa, cerrado a 1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30 de mayo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los AATC 1/2016, de 18 de enero, FJ 1, y 172/2019, de 16 de diciembre, FJ 2, entre otros. Y, en el caso concreto de los perjuicios de carácter patrimonial o económico, desarrolla la doctrina contenida en el ATC 9/2018, de 5 de febrero, FJ 2. Finalmente, reitera la jurisprudencia constitucional sobre la carga de la prueba acerca de los perjuicios irreparables alegados, con reseña parcial del ATC 36/2007, de 12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al caso concreto conduce, según el fiscal, a la desestimación de la pretensión planteada. En primer lugar, sobre la apariencia de buen derecho, la doctrina del tribunal descarta que se pueda hacer un análisis sobre la cuestión de fondo en este momento procesal, lo que supondría una anticipación del fallo. En segundo lugar, en cuanto a los perjuicios irreparables, considera que la carga de la prueba corresponde a la entidad demandante, y que los documentos aportados no son suficientes a tal fin. Sin pretender realizar un análisis contable exhaustivo, el fiscal destaca el volumen total de negocio de la empresa (22 946 678,69 €), el activo corriente (5 244 587,64 €), el patrimonio neto —fondos propios— (3 054 750,84 €), o los sueldos y salarios del personal (5 688 627,60 €). Con estas cifras, y aún sin discutir los gastos de la entidad o las dificultades coyunturales por las que atraviesa el sector, el Ministerio Fiscal entiende que, al tratarse de unos eventuales perjuicios económicos, admiten su reparación salvo supuestos excepcionales que, a su juicio, no concurren en este caso. En tercer lugar, descartada la irreparabilidad de los perjuicios, no procede conceder la suspensión y, en consecuencia, abordar la posible perturbación de los intereses o derechos de terceros. No obstante, el retraso en el cobro sí puede suponer una grave perturbación para los intereses del trabajador, y la empresa no ha acreditado que el trabajador quede en una situación menos precaria que la entidad recurrente. Concluye, por tanto, su escrito interesando que no se acuerde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cautelar del fallo contenido en las sentencias recurridas”, es decir, la sentencia 1483/2020, de 19 de octubre, dictada en el marco del recurso de suplicación núm. 1257-2020 por la Sala de lo Social del Tribunal Superior de Justicia de Castilla y León (sede de Valladolid), por la que se inadmitió el recurso interpuesto por la ahora recurrente de amparo; y contra el posterior auto de 10 de noviembre de 2021 de la Sala de lo Social del Tribunal Supremo, por el que se declaró la inadmisión del recurso de casación para la unificación de doctrina interpuesto contra la resolución anterior. Por su parte, el Ministerio Fiscal ha interesado que no se acuerde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primero que se debe aclarar es que, conforme a reiterados pronunciamientos de esta jurisdicción —ya citados—, la eventual prosperabilidad del recurso (la “apariencia de buen derecho” alegada por la entidad recurrente) no puede ser objeto de ponderación en este momento procesal. El art. 56 LOTC no lo contempla como presupuesto para la adopción de medidas cautelares, y su valoración podría suponer una anticipación del fallo que no procede realizar en esta fase del procedimiento, puesto que las partes no se han pronunciado todavía sobre el fondo de las pretensiones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los términos de la demanda y de las alegaciones planteadas en esta pieza permiten constatar que la petición de la demandante presenta una indudable naturaleza pecuniaria. Se trata de paralizar la ejecución de lo acordado en las resoluciones judiciales impugnadas, por los perjuicios de carácter económico que se pudieran causar a la entidad recurrente, y que esta considera de muy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este tribunal no discute la dificultad de la situación general del sector del transporte, ni de la empresa recurrente. Sin embargo, lo que se trata de valorar en esta pieza separada es si una ejecución de las resoluciones impugnadas pudiera generar un perjuicio de tal entidad que el recurso perdiera su finalidad, para el caso de que fuera estimado. En este punto, hemos de coincidir con el Ministerio Fiscal en que la documentación aportada no permite adverar esa irreversibilidad de la situación económica que justifique la adopción de una medida como la solicitada. Con independencia de las circunstancias por las que atraviesa la empresa, nos encontramos ante una entidad que cuenta con un volumen considerable de negocio y de personal. Un examen detallado de la documentación contable aportada, correspondiente a un ejercicio especialmente difícil como fue el año 2020, excede del objeto de esta resolución. No obstante, y aunque la cantidad requerida no es desdeñable —casi 190 000 €—, supone una cifra inferior al 1 por 100 del volumen total de negocio de la empresa, e inferior también al 3 por 100 de los gastos de personal —incluyendo las cargas sociales—. Por ello, incluso contando con las dificultades de flujos de efectivo, o los gastos por deudas, amortizaciones e inversiones, que se deducen de un examen sumario de la documentación aportada, no es posible vislumbrar una irreparabilidad de los perjuicios derivados del abono de las cantidades requeridas por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ausencia de una mínima acreditación de uno de los elementos que, conforme a lo dispuesto en el art. 56 LOTC, deben ser objeto de ponderación para la adopción de la medida solicitada, excluye la necesidad de realizar una ulterior valoración sobre los eventuales perjuicios que pudieran generarse para los derechos o intereses de terceros que, en este caso, podrían no ser nada desdeñables, desde la perspectiva del trabajador afectado. Como ya se ha expuesto, la medida cautelar solo procede si con ella se puede evitar que la estimación del amparo sea ilusoria y si, además, no se causa una grave perturbación para un interés constitucionalmente protegido o para los derechos fundamentales o libertades de otra persona. La falta del primer presupuesto impide continuar con el análisis del resto de elementos de ponderación.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conforme a la doctrina de este tribunal, la pretensión no puede prosperar.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