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106</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27 de junio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don Juan Antonio Xiol Ríos, presidente, y la magistrada doña Concepción Espejel Jorquera en el recurso de amparo núm. 4365-2022, promovido por don Francisco Javier García Gómez contra la sentencia 43/2022, de fecha 19 de mayo de 2022 dictada por la Sala de lo Militar del Tribunal Supremo,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núm. 4365-2022 se impugna la sentencia 43/2022, de fecha 19 de mayo, dictada por la Sala de lo Militar del Tribunal Supremo en recurso de casación contencioso 82-2021 contra sentencia del Tribunal Militar Central en el recurso contencioso-disciplinario militar ordinario núm. 50-2021.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de 21 de junio de 2022 el magistrado don Cándido Conde-Pumpido Tourón comunicó a los efectos oportunos que se abstenía de intervenir en el antes indicado recurso de amparo, de conformidad con el art. 80 de la Ley Orgánica del Tribunal Constitucional (LOTC), por concurrir la causa de abstención prevista en el artículo 219.15 de la Ley Orgánica del Poder Judicial (LOPJ).</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Cándido Conde-Pumpido Tourón, magistrado de esta Sección Tercera del Tribunal Constitucional, la Sección, en virtud de lo previsto en el art. 219.15 LOPJ, supletoria de la Ley Orgánica del Tribunal Constitucional (art. 80), estima justificada la causa de abstención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Cándido Conde-Pumpido Tourón en el recurso de amparo núm. 4365-2022,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junio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