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5368-2020, promovido por Euroinversiones Inmobiliarias Costa Sur, S.L., representada por la procuradora de los tribunales doña Blanca Berriatua Horta y bajo la dirección del letrado don Marcelino Gilabert García, contra el auto del Juzgado de Primera Instancia e Instrucción núm. 5 de Lorca, de 21 de septiembre de 2018, y el auto de 29 de septiembre de 2020, en el procedimiento de ejecución hipotecaria núm. 290-2018 instado por la entidad Banco de Sabadell, S.A., por los que, respectivamente, se inadmite por extemporánea la demanda de oposición formulada y se confirma esta última decisión, tras desestimarse el recurso de reposición interpuesto frente a ella.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noviembre de 2020, la procuradora de los tribunales doña Blanca Berriatua Horta, actuando en nombre y representación de Euroinversiones Inmobiliarias Costa Sur, S.L.,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inscrita con el núm. 43280 en el Registro de la Propiedad núm. 3 de Lorca. Reclamaba la cantidad de 8199,12 € de principal del préstamo impagado, más intereses legales y costas, resultando la primera de las demandadas la deudora hipotecaria, y la segunda titular de un derecho de uso y disfrute sobre dicho inmueble, constituido con posterioridad al de aquella carga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5 de Lorca, al que correspondió el conocimiento de la causa, dictó auto el 9 de mayo de 2018 por el que acordó el despacho de ejecución (procedimiento de ejecución hipotecaria núm. 290-2018), ordenando a las ejecutadas efectuar el pago de las cantidades que se reclamaban. Asimismo se proveyó que dicho auto, junto con el decreto que debía dictar el letrado de la administración de justicia, fueran “notificados simultáneamente a la parte ejecutada, tal y como dispone el artículo 553 de la Ley de enjuiciamiento civil (LEC), sin citación ni emplazamiento, para que en cualquier momento pueda personarse en la ejecución”. Se advirtió además que contra dicha resolución no cabía recurso alguno, “sin perjuicio de que la parte ejecutada pueda oponerse al despacho de ejecución en los términos previstos en el artículo 695 LEC, y en el plazo de diez días a contar desde el siguiente a la notificación del presente auto y del decreto que se dicte”. El decreto al que se hace referencia fue dictado por el letrado de la administración de justicia del juzgado a quo en la misma fecha, ordenando la expedición de mandamiento de certificación relativa a la finca al registro de la propiedad competente y el requerimiento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21 de mayo de 2018, el servicio de notificaciones electrónicas de la Fábrica Nacional de Moneda y Timbre remitió al buzón de la dirección electrónica habilitada de la entidad aquí recurrente en amparo un correo avisándole de que tenía una notificación del Juzgado de Primera Instancia e Instrucción núm. 5 de Lorca, relativa al proceso: EJH-0000290-2018; notificación que estaría disponible entre los días 21 de mayo y 6 de julio de 2018, a través de un enlace electrónico que también indicaba. Como información adicional se añadía que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en amparo recibió el día 5 de julio, en la misma dirección electrónica habilitada, un “Aviso de próxima caducidad”, recordándole que el plazo para la recepción de la comunicación terminaba el día 6 de julio de 2018 a las 23:59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esta última fecha, la mercantil recurrente en amparo accedió al enlace remitido a la dirección electrónica habilitada y, con ello, a la notificación enviada por el juzgado ejecutante, en relación con el procedimiento hipotecario núm. 290-2018. Automáticamente, el servicio de notificaciones de la Fábrica Nacional de Moneda y Timbre emitió un certificado electrónico haciendo constar que la notificación había sido enviada y aceptada con fecha de 6 de julio de 2018, a las 13:05:37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entidad Euroinversiones Inmobiliarias Costa Sur, S.L., presentó con fecha 18 de julio de 2018 escrito de oposición a la ejecución despachada.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5 de Lorca dictó auto, en fecha 21 de septiembre de 2018, en cuya virtud inadmitió, por extemporánea, la oposición planteada. En dicha resolución se expone que “[e]n fecha 21 de mayo de 2018 se notificó y requirió en legal forma a través de la sede judicial electrónica a ambas ejecutadas, y en fecha 18/07/2018 se ha presentado por Euroinversiones Inmobiliarias Costa Sur, S.L., oposición a la ejecución hipotecaria”, para luego fundar la inadmisión, en esencia, en que, conforme a la improrrogabilidad de los plazos y la preclusión que establecen los arts. 134 y 136 LEC, en relación con lo dispuesto en el art. 695 LEC, la oposición habría de haberse presentado dentro de los diez días siguientes a la notificación del auto y decreto por el que se despachó la ejecución. Por tanto, al haberse opuesto la ejecutada pasado el plazo legalmente establecido, se debe inadmitir su oposición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sociedad mercantil recurrente interpuso recurso de reposición alegando, en síntesis, que las actuaciones de notificación y requerimiento no habían sido realizadas el día 21 de mayo de 2018, sino el 6 de julio de 2018, y que la comunicación remitida a través de la dirección electrónica habilitada no podía entenderse nada más que como un aviso de puesta a disposición o descarga de su contenido durante un plazo determinado (en el caso desde el 21 de mayo al 6 de julio de 2018) y entenderlo de otro modo, además de infringir los arts. 135, 152, 160, 162 LEC, vulneraba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fue desestimado por auto de 29 de septiembre de 2020, señalando la condición de persona jurídica de la recurrente. Dice el fundamento único del auto que “[l]as alegaciones del recurrente no desvirtúan el auto recurrido que es claro y correcto en fundamentación fáctica y jurídica. La presentación de la oposición por la parte ejecutada ha sido extemporánea como aclara el auto recurrido. En fecha 21/05/18 se notificó y requirió en legal forma a la demandada a través de sede judicial electrónica al ser persona jurídica, la remisión fue correcta y no es hasta el día 18/07/18 cuando se presenta la oposición, claramente fuera del plazo de los diez días que se le concede a la parte ejecutada para presentar su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alega la vulneración del derecho a la tutela judicial efectiva sin indefensión (art. 24.1 CE), en su vertiente del respeto a un procedimiento con las debidas garantías, que no cause indefensión. La queja principal de la demanda de amparo se refiere a la falta de notificación personal de la demanda de ejecución hipotecaria, otorgándose efecto a la remisión de un correo electrónico que carece de los requisitos esenciales para considerarlo un acto de notificación procesal, habiéndose vedado a la recurrente de este modo la posibilidad de ejercitar su derecho de oposición en un proceso de ejecución hipotecaria. La cuestión planteada se cifra en determinar si un correo electrónico remitido por un servicio de notificaciones electrónicas es un acto de notificación procesal, que despliega los efectos propios de una notificación realizada con todas las garantías procesales o si no lo es, en cuyo caso habría que determinar si las decisiones adoptadas por el juzgador en la instancia son arbitrarias, irracionales o fruto de un error patente, y en consecuencia constituyen una vulneración del derecho a la tutela judicial efectiva, consagrado en 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dispone el art. 273 LEC, cuando se trata del primer emplazamiento y, por tanto, aquella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recurrente en amparo considera que con la interpretación ofrecida en el auto objeto de impugnación, el juzgado no ha dado cumplimiento a las exigencias constitucionales reconocidas para los actos de notificación procesal, a cuyo tenor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Señala que el auto recurrido vulnera el art. 24 CE teniendo en cuenta que la cuestión ya había sido resuelta por el Tribunal Constitucional, en numerosas sentencias en casos exactamente iguales a este, e incluso respecto a resoluciones del mismo Juzgado de Primera Instancia e Instrucción núm. 5 de Lorca; y así, cita las SSTC 40/2020, de 27 de febrero; 77/2020, de 29 de junio, y 130/2020, de 21 de septiembre. Reproduce también la STC 47/2019,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la estimación del amparo, instando al Tribunal para que acuerde la nulidad de ambas resoluciones judiciales y ordene reponer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escrito de demanda solicitó la suspensión de la continuación del procedimiento de ejecución hipotecaria núm. 290-2018 seguido ante el Juzgado de Primera Instancia e Instrucción núm. 5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febrero de 2021, la Sección Primera de este tribunal acordó no admitir a trámite el recurso de amparo por no apreciar en el mismo la especial trascendencia constitucional que, como condición para su admisión, requiere el art. 50.1 b) de la Ley Orgánica del Tribunal Constitucional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mediante escrito registrado con fecha 23 de febrero de 2021, interpuso recurso de súplica ex art. 50.3 de la Ley Orgánica del Tribunal Constitucional (LOTC) contra la providencia de 10 de febrero de 2021, en el que interesó que se dejara sin efecto la providencia indicada, dictándose otra en su lugar admitiendo el recurso de amparo. Tras los oportunos trámites procesales, el ATC 36/2021, de 5 de abril, resuelve de forma estimatoria el recurso de súplica. Acuerda dejar sin efecto la providencia de 10 de febrero de 2021 que acordó la inadmisión del presente recurso de amparo, así como reponer las actuaciones al momento anterior a dictarse la providencia anulada a fin de que se dicte otra que se pronuncie sobre su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mayo de 2021, la Sección Primera del tribunal acordó admitir a trámite el recurso de amparo “apreciando que concurre en el mismo una especial trascendencia constitucional (art. 50.1 LOTC) porque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acuerda dirigir comunicación al Juzgado de Primera Instancia e Instrucción núm. 5 de Lorca, en aplicación de lo dispuesto en el art. 51 LOTC, a fin de que se emplazara a quienes hubieran sido parte en el procedimiento, excepto la parte recurrente en amparo, para que en el plazo de diez días pudieran comparecer en el recurso de amparo, no siendo necesaria la remisión del testimonio de las actuaciones correspondientes a la ejecución hipotecaria núm. 290-2018, al estar incorporadas ya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acordó asimismo formar la oportuna pieza para la tramitación del incidente de suspensión y, conforme a lo dispuesto en el art. 56 LOTC, concedió un plazo común de tres días a la parte recurrente y al Ministerio Fiscal para que alegaran lo que estimasen pertinente sobre dicha suspensión. A través de escrito presentado el 17 de mayo de 2021, la parte demandante formuló sus alegaciones, reiterando lo dicho en el otrosí de su demanda y trascribiendo parte del ATC 287/2013, de 16 de diciembre. Por su parte, el Ministerio Fiscal, en escrito registrado el 31 de mayo de 2021, interesaba que se acordase la anotación preventiva de la demanda en el registro de la propiedad, aunque esta última medida no hubiera sido solicitada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71/2021, de 12 de julio, acordó denegar la suspensión cautelar solicitada, y ordenar la anotación preventiva de la demanda de amparo en el registro de la propiedad de conformidad con el art. 56.2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 de junio de 2021, doña María Claudia Munteanu, procuradora de los tribunales y de Pera Assets Designated Activity Company, presenta escrito personándose como parte en el amparo, al haber sucedido en su posición procesal al Banco de Sabadell, S.A. Por diligencia de ordenación de 2 de junio de 2021, se tiene por personada y parte a la procuradora María Claudia Munteanu, en nombre y presentación de la mercantil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fechada el 29 de junio de 2021, se tienen por recibidas en formato digital las actuaciones remitidas por el Juzgado de Primera Instancia e Instrucción núm. 5 de Lorca, y a tenor de lo dispuesto en el art. 52.1 LOTC, se acordó dar vista de estas al Ministerio Fiscal, a la parte recurrente en amparo y a la parte personada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julio de 2021 presentó sus alegaciones el Ministerio Fiscal. Tras reflejar los aspectos del procedimiento judicial y de la tramitación seguida ante este tribunal que consideró relevantes, recuerda que el presente recurso de amparo forma parte de una serie, cuyo denominador común son las idénticas vulneraciones que se atribuyen a las resoluciones dictadas por los juzgados de primera instancia e instrucción de Lorca, en diferentes procedimientos de ejecución hipotecaria seguidos contra Euroinversiones Inmobiliarias Costa Sur, S.L., y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fiscal pone de relieve que algunos de esos recursos ya han sido resueltos por el Tribunal Constitucional, en concreto por la STC 40/2020, de 27 de febrero, dictada por el Pleno, y las SSTC 43/2020, de 9 de marzo, y 103/2021, de 10 de mayo. Tras la cita literal de la doctrina formulada en la última de las sentencias mencionadas, y afirmando que la doctrina expuesta resulta íntegramente aplicable al presente recurso de amparo, la Fiscalía interesa su estimación al haberse vulnerado el derecho a la tutela judicial efectiva sin indefensión (art. 24.1 CE) en ausencia de notificación personal del primer acto de comunicación procesal entre el juzgado y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de 28 de julio de 2021 presentó sus alegaciones la entidad demandante de amparo. Como primera cuestión y a fin de evitar repeticiones innecesarias, se reiteró en lo ya expuesto en su escrito de interposición del recurso de amparo. No obstante, destaca la STC 40/2020, de 27 de febrero, del Pleno del Tribunal Constitucional, que resuelve el recurso de amparo núm. 5377-2018, promovido por Euroinversiones Inmobiliarias Costa Sur, S.L., en un asunto sustancialmente idéntico al del presente recurso de amparo, en el que el Tribunal sostiene que, tratándose del primer emplazamiento o citación al demandado, este ha de efectuarse en el domicilio del litigante, como impone el artículo 155.1 de la Ley de enjuiciamiento civil, pues de lo contrario se estaría vulnerando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solicita que se dicte sentencia estimatoria, en los términos interesados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septiembre de 2022,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contexto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autos de 21 de septiembre de 2018 y de 29 de septiembre de 2020, dictados por el Juzgado de Primera Instancia e Instrucción núm. 5 de Lorca en el procedimiento de ejecución hipotecaria núm. 290-2018. El primero de ellos inadmitió por extemporánea la oposición a la ejecución hipotecaria, mientras que el segundo confirmó la anterior decisión al desestimar el recurso de reposición interpuesto frente a ella. La constatación de la existencia del óbice de extemporaneidad se basa en que el órgano judicial toma como fecha de notificación el 21 de mayo de 2018, que es la fecha en la que se pone a disposición de la recurrente en amparo, en la sede judicial electrónica (dirección electrónica habilitada), la correspondiente notificación, a pesar de que la mercantil recurrente no abrió la notificación, siguiendo las instrucciones contenidas en la propia comunicación, hasta el 6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la notificación fue inadecuadamente realizada pues, al tratarse de la primera notificación, debió efectuarse de forma personal y no a través de la dirección electrónica habilitada, lo que le habría generado indefensión, y por tanto vulneración del art. 24.1 CE, al inadmitirse la oposición a la ejecución e impedirse la formulación del oportuno recurso. Por su parte, el Ministerio Fiscal, remitiéndose literalmente a la argumentación de la STC 103/2021,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integra en la serie de recursos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la dirección electrónica habilitada de la Fábrica Nacional de Moneda y Timbre, inadmitieron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25 de febrero,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STC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al emplazamiento de la actora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de amparo promovida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21 de septiembre de 2018 y de 29 de septiembre de 2020, dictados por el Juzgado de Primera Instancia e Instrucción núm. 5 de Lorca en el proceso de ejecución hipotecaria núm. 290-2018,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practique nuevamente,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