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895-2021, promovido por la entidad Veranda y Arnela Desarrollos,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15 de febrero de 2021, la entidad Veranda y Arnela Desarrollos, S.L., representada por la procuradora de los tribunales doña Hara Rojas Jiménez, bajo la asistencia del letrado don Jaime Rodríguez Díez, interpuso recurso de amparo contra la resolución núm. 112-2018, de 20 de diciembre, de la Viceconsejería de Comunicación y Relaciones con los Medios del Gobierno de Canarias, por la que se ordena el archivo de la solicitud presentada por don Jaime Rodríguez Díez, en representación de Veranda y Arnela, S.L., en la que insta la convocatoria de concurso público para el otorgamiento de licencias audiovisuales de radiodifusión sonora digital terrenal en la Comunidad Autónoma de Canarias,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formuló ante el Gobierno de Canarias solicitud interesando la convocatoria del concurso público correspondiente a las licencias de servicios audiovisuales de radiodifusión sonora digital terrestre vacantes. Por resolución núm. 112-2018, de 20 de diciembre, de la Viceconsejería de Comunicación y Relaciones con los Medios del Gobierno de Canarias, se ordena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citada resolución, interpuso recurso de contencioso-administrativo núm. 29-2019, que fue desestimado por sentencia núm. 6/2020, de 17 de enero, de la Sección Primera de la Sala de lo Contencioso-Administrativo del Tribunal Superior de Justicia de Canarias (Santa Cruz de Tenerife), “con expresa imposición de las costas causadas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Preparado recurso de casación núm. 2333-2020 por la representación procesal de la mercantil demandante de amparo, por providencia de 4 de febrero de 2021 de la Sección Primera de la Sala de lo Contencioso-Administrativo del Tribunal Supremo, se acuerda su inadmisión a trámite por carencia sobrevenida de interés casacional objetivo para la formación de jurisprudencia, pues la cuestión suscitada en este recurso, y sobre la que se proyectó el interés casacional, ha sido ya resuelta por esta Sala y en sentido contrario al pretendido por la recurrente. La providencia no impone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invoca la vulneración del derecho a la libertad de expresión e información, en su vertiente de derecho de creación de medios de comunicación [art. 20.1. a) y d) CE], infracción que se deriva de la negativa de la administración a convocar un concurso público de licencias de radiodifusión sonora digital en relación con el derecho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de acuerdo con el art. 56 de la Ley Orgánica del Tribunal Constitucional (LOTC), como medida cautelar, la suspensión de la vigencia de la resolución administrativa impugnada y de las resoluciones judiciales que la confirmaron.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solicita la suspensión parcial de las resoluciones judiciales que confirmaron la resolución administrativa recurrida en lo que respecta a la condena en costas en primera instancia. Fundamenta dicha solicitud en la situación de perjuicio económico derivado de la falta de actividad que determina que resulta inasumible el pago de las costas impuestas por 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octubre de 2022, la Sección Tercera de este tribunal, acordó admitir a trámite el presente recurso de amparo, apreciando que concurre en el mismo una especial transcendencia constitucional (art. 50.1 LOTC) porque el recurso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 Asimismo,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pieza para la tramitación del incidente relativo a la suspensión interesada y conceder, conforme a lo dispuesto en el art. 56 LOTC,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18 de octubre de 2022 presentó sus alegaciones la entidad recurrente en amparo. En el mismo se reitera la petición formulada en la demanda y los perjuicios que se producirían. A ello añade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14 de noviembre de 2022 presentó sus alegaciones el Ministerio Fiscal. 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177/2019, de 16 de diciembre, FJ 2, y 49/2022, de 7 de marzo, FJ 1.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las pretensiones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 56 LOTC, puesto que las resoluciones administrativas recurridas se han limitado a denegar la convocatoria de un concurso público y, en consecuencia, “agotan sus efectos en tal decisión, sin que generen ulteriores actos de ejecución”.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 la resolución impugnada. Además, esa petición vendría a “coincidir, siquiera sea parcialmente, […] con la pretensión final del amparo”, lo que implicaría “una anticipación del fallo”. Por otro lado, el perjuicio para el derecho fundamental a la libertad de comunicación e información no se aprecia como “actual o real”, sino “totalmente eventual”, porque la participación en un concurso no asegura la adjudicación de la licencia. Asimismo, el fiscal considera que la parte demandante no ha aportado “ninguna prueba o justificación” sobre la “entidad” de los perjuicios económicos alegados, que fuera determinante de la pérdida de la finalidad del amparo. Finalmente, considera que esta última referencia a los perjuicios económicos es aplicable a la petición subsidiaria, referida al pago de las costas de la instancia, ya que la demandante, al igual que en la petición principal, no justifica qué perjuicio irreparable le supone el pago de dicha cantidad.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consiste en determinar la procedencia o no de las medidas cautelares instadas por la recurrente en amparo. La medida cautelar solicitada consiste en la suspensión de la vigencia de la resolución administrativa impugnada y de las resoluciones judiciales confirmatorias. Subsidiariamente se solicita la suspensión parcial de las resoluciones judiciales en lo que respecta a la condena en costas en la primera instancia. El Ministerio Fiscal ha interesado la desestimación de estas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 archivo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con lo que la suspensión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 Por lo demás, los términos de la demanda y de las alegaciones formuladas en esta pieza apuntan a perjuicios de indudable naturaleza económica que, como tales, serían susceptibles de reparación (ATC 105/2020, de 21 de septiembre, FJ 2). Esta afirmación resulta asimismo aplicable, como afirma el Ministerio Fiscal a la petición subsidiaria del recurrente respecto a la suspensión de las resoluciones judiciales en lo que afecta a las costas procesales (en el mismo sentido, ATC 79/2022, de 9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cautelares solicitadas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