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165</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28 de noviembre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1754-2021, promovido por la entidad Asociación Emplazamientos y Comunicación Nueva Esperanza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25 de marzo de 2021, la entidad Asociación Emplazamientos y Comunicación Nueva Esperanza, representada por la procuradora de los tribunales doña Sonia Rivas Farpón y bajo la dirección del letrado don Jaime Rodríguez Díez, interpuso recurso de amparo contra la sentencia de la Sección Tercera de la Sala de lo Contencioso-Administrativo del Tribunal Supremo núm. 288-2021, de 11 de marzo, por la que se estima el recurso de casación núm. 3881-2020 interpuesto contra la sentencia de la Sala de lo Contencioso-Administrativo (sede de Valladolid) del Tribunal Superior de Justicia de Castilla y León núm. 481/2020, de 22 de mayo, pronunciada en el procedimiento ordinario núm. 64-2019, por la que se estimaba el recurso interpuesto contra la desestimación presunta por la Consejería de Fomento y Medio Ambiente de la Junta de Castilla y León de la solicitud de 10 de julio de 2018 de convocatoria de concurso público de licencias de comunicación audiovisual de radiodifusión sonora digital en la Comunidad Autónoma de Castilla y León, invocando los derechos a la libertad de expresión e información, en su vertiente de derecho de creación de medios de comunicación [art. 20.1 a) y d) CE] y el derecho a la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al amparo del art. 56 de la Ley Orgánica del Tribunal Constitucional (LOTC), la suspensión de las decisiones administrativa y judicial impugnadas alegando la pérdida de la finalidad del recurso con fundamento en que al no convocarse el concurso público para la adjudicación de las licencias (i) se impide a la entidad demandante desempeñar la finalidad para la que fue constituida; (ii) se le condena a continuar sin realizar actividad material alguna; (iii) implica el cierre del medio de comunicación; y (iv) se le expone a una eventual sanción administrativa para el caso de que realizara la actividad sin título habilitante. Por otra parte, se alega (i) la irreparabilidad de la lesión del derecho fundamental a la libertad de expresión e información que se deriva de la imposibilidad de su ejercicio mientras se mantenga la situación actual; (ii) la ausencia de perjuicio para terceros; y (iii) que la medida cautelar sería necesaria para evitar la perturbación de los intereses generales, pues se corre el riesgo de dilatar o no ejecutar resoluciones judiciales dictadas por algunos Tribunales Superiores de Justicia que ordenaron la convocatoria de concursos (Galicia, Madrid, Castilla-La Mancha, Aragón, Extremadura o Asturias), o la paralización de las convocatorias ya realizadas en Cataluña, Castilla y León o Navarra, con la consiguiente desigualdad entre los ciudadanos de los distintos territorios.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del Tribunal, por sendas providencias de 24 de octubre de 2022, acordó, en la primera, entre otros aspectos, la admisión a trámite de la demanda de amparo y la formación de pieza separada para la sustanciación del incidente de suspensión; y, en la segunda, formar la oportuna pieza de suspensión y conceder a la recurrente y al Ministerio Fiscal el plazo común de tres días para que alegasen lo que estimasen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18 de noviembre de 2022, presentó alegaciones interesando que se deniegue la suspensión. Argumenta que las resoluciones impugnadas se han limitado a denegar la convocatoria de un concurso público, por lo que la pretensión de que se ordene a la administración su convocatoria (i) excede del ámbito propio de la tutela cautelar, que se restringe a la mera suspensión de la resolución impugnada; e (ii) implicaría una anticipación del fallo. A ello añade que no se ha aportado ninguna prueba o justificación sobre la entidad de los perjuicios económicos alegados y que el perjuicio para el derecho fundamental a la libertad de comunicación e información se aprecia como meramente eventual, porque la participación en un concurso no asegura la adjudicación de la licencia.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entidad demandante de amparo no ha presentado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de la medida cautelar instada por la entidad demandante de amparo consistente en la suspensión de la vigencia de las resoluciones impugnadas en las que se denegaba por un gobierno autonómico la convocatoria de un concurso público para la concesión de licencias disponibles de comunicación audiovisual de radiodifusión sonora digital de ámbito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petición idéntica ha sido ya denegada mediante sendos autos de 14 de noviembre de 2022 pronunciados en las piezas de suspensión de los recursos de amparo núm. 164-2021 y 817-2021, interpuestos por otras empresas audiovisuales que contaban con la misma dirección letrada que en el presente.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el Tribunal deniega también en este caso la medida cautelar solicitada y se remite a los razonamientos jurídicos expuestos en las citadas resoluciones en las que se señalaban, en esencia, como razones justificativas para ese rechazo que (i) la temporal pérdida de vigencia de la decisión impugnada no tendría un efecto real sobre los derechos invocados porque sería necesaria una ulterior decisión administrativa que acordara la convocatoria del concurso solicitado; (ii) la eventual medida de que se convocara dicho concurso supondría una anticipación de los efectos del fallo; y (iii) no se ha dado cumplimiento a la aportación de un principio de prueba sobre la irreparabilidad de los perjuicios de carácter patrimonial.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cautelar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