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1847-2021, promovido por la entidad Asociación Emplazamientos y Comunicación Nueva Esperanza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29 de marzo de 2021, la entidad Asociación Emplazamientos y Comunicación Nueva Esperanza, representada por el procurador de los tribunales don Joaquín Cañibano Martín y bajo la dirección del letrado don Jaime Rodríguez Díez, interpuso recurso de amparo contra la providencia de la Sección Primera de la Sala de lo Contencioso-Administrativo del Tribunal Supremo de 25 de marzo de 2021, por la que se inadmite el recurso de casación núm. 1777-2020 interpuesto contra la sentencia de la Sección Primera de la Sala de lo Contencioso-Administrativo (sede de Santa Cruz de Tenerife) del Tribunal Superior de Justicia de Canarias núm. 391/2019, de 17 de diciembre, pronunciada en el procedimiento ordinario núm. 57-2019, por la que se desestimaba el recurso interpuesto contra resolución del Viceconsejero de Comunicación y Relaciones con los Medios de la Presidencia del Gobierno de Canarias núm. 113-2018, de 20 de diciembre, por la que se ordena el archivo de la solicitud instada para la convocatoria de un concurso público para el otorgamiento de licencias audiovisuales de radiodifusión sonora digital terrenal en la Comunidad Autónoma de Canarias, por haber desaparecido el objeto del procedimiento, invocando los derechos a la libertad de expresión e información, en su vertiente de derecho de creación de medios de comunicación [art. 20.1 a) y d) CE] y 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LOTC, la suspensión de las decisiones administrativas y judiciales impugnadas alegando la pérdida de la finalidad del recurso con fundamento en que al no convocarse el concurso público para la adjudicación de las licencias (i) se impide a la entidad demandante desempeñar la finalidad para la que fue constituida; (ii) se le condena a continuar sin realizar actividad material alguna; (iii) implica el cierre del medio de comunicación; y (iv) se le expone a una eventual sanción administrativa para el caso de que realizara la actividad sin título habilitante. Por otra parte, se alega (i) la irreparabilidad de la lesión del derecho fundamental a la libertad de expresión e información que se deriva de la imposibilidad de su ejercicio mientras se mantenga la situación actual; (ii) la ausencia de perjuicio para terceros; y (iii) que la medida cautelar sería necesaria para evitar la perturbación de los intereses generales, pues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 Subsidiariamente se solicita la suspensión de la imposición judicial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por sendas providencias de 24 de octubre de 2022, acordó, en la primera, entre otros aspectos, la admisión a trámite de la demanda de amparo y la formación de pieza separada para la sustanciación del incidente de suspensión; y, en la segunda, formar la oportuna pieza de suspensión y conceder a la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18 de noviembre de 2022, presentó alegaciones interesando que se deniegue la suspensión. Argumenta que las resoluciones impugnadas se han limitado a denegar la convocatoria de un concurso público, por lo que la pretensión de que se ordene a la administración su convocatoria (i) excede del ámbito propio de la tutela cautelar, que se restringe a la mera suspensión de la resolución impugnada; e (ii) implicaría una anticipación del fallo. A ello añade que no se ha aportado ninguna prueba o justificación sobre la entidad de los perjuicios económicos alegados y que el perjuicio para el derecho fundamental a la libertad de comunicación e información se aprecia como meramente eventual, porque la participación en un concurso no asegura la adjudicación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de amparo, por escrito registrado el 26 de octubre de 2022, presentó alegaciones reiterando las expuestas en la demanda de amparo; añadiendo que (i) la Ley 13/2022, de 7 de julio, general de comunicación audiovisual, que ha derogado la Ley 7/2010, de 31 de marzo, ya no establece en su articulado el decaimiento de las reservas de dominio público radioeléctrico por el transcurso del tiempo; (ii) hay una nueva sentencia del Tribunal Superior de Justicia de la Comunidad Valenciana que ordena la convocatoria del concurso; y (iii) se han publicado sendas convocatorias de concurso por parte de diversas comunidades autónomas (Extremadura y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entidad demandante de amparo consistente en la suspensión de la vigencia de las resoluciones impugnadas en las que se denegaba por un gobierno autonómico la convocatoria de un concurso público para la concesión de licencias disponibles de comunicación audiovisual de radiodifusión sonora digital de ámbito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petición idéntica ha sido ya denegada mediante sendos autos de 14 de noviembre de 2022 pronunciados en las piezas de suspensión de los recursos de amparo núm. 164-2021 y 817-2021, interpuestos por otras empresas audiovisuales que contaban con la misma dirección letrada que en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Tribunal deniega también en este caso la medida cautelar solicitada y se remite a los razonamientos jurídicos expuestos en las citadas resoluciones en las que se señalaban, en esencia, como razones justificativas para ese rechazo que (i) la temporal pérdida de vigencia de la decisión impugnada no tendría un efecto real sobre los derechos invocados porque sería necesaria una ulterior decisión administrativa que acordara la convocatoria del concurso solicitado; (ii) la eventual medida de que se convocara dicho concurso supondría una anticipación de los efectos del fallo; y (iii) no se ha dado cumplimiento a la aportación de un principio de prueba sobre la irreparabilidad de los perjuicios de carácter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subsidiaria de suspensión de la imposición de costas en la resolución impugnada también debe ser rechazada por tratarse de un perjuicio de carácter patrimonial respecto del que, más allá del lógico quebranto que en general implica el hacer frente a su pago, no se acredita que se esté ante uno de los supuestos excepcionales que, conforme a la jurisprudencia constitucional, pueden acarrear perjuicios patrimoniales difícilmente reparables que justifiquen la suspensión solicitada (ATC 57/2022, de 21 de marzo,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