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508-2021, promovido por la entidad Emplazamientos Radiales,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25 de enero de 2021, la entidad Emplazamientos Radiales, S.L., representada por la procuradora de los tribunales doña María Leceta Bilbao y bajo la dirección del letrado don Jaime Rodríguez Díez, interpuso recurso de amparo contra la providencia de la Sección Primera de la Sala de lo Contencioso-Administrativo del Tribunal Supremo de 21 de enero de 2021, por la que se inadmite el recurso de casación núm. 3370-2020 interpuesto contra la sentencia de la Sección Primera de la Sala de lo Contencioso-Administrativo del Tribunal Superior de Justicia del País Vasco núm. 92/2020, de 24 de abril, pronunciada en el procedimiento ordinario núm. 114-2019, por la que se desestimaba el recurso interpuesto contra la orden del consejero de Cultura y Política Lingüística del Gobierno Vasco de 21 de enero de 2019, por la que se desestima el recurso de alzada interpuesto contra la resolución de la directora de Gabinete y Medios de Comunicación Social de 14 de noviembre de 2018, que desestimó la solicitud de convocatoria de concurso público para el otorgamiento de las licencias de comunicación audiovisual de radiodifusión sonora digital terrestre en la Comunidad Autónoma del País Vasco, invocando los derechos a la libertad de expresión e información, en su vertiente de derecho de creación de medios de comunicación [art. 20.1 a) y d) CE] y 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las decisiones administrativa y judicial impugnadas alegando la pérdida de la finalidad del recurso con fundamento en que al no convocarse el concurso público para la adjudicación de las licencias (i) se impide a la entidad demandante desempeñar la finalidad para la que fue constituida; (ii) se le condena a continuar sin realizar actividad material alguna; (iii) implica el cierre del medio de comunicación; y (iv) se le expone a una eventual sanción administrativa para el caso de que realizara la actividad sin título habilitante. Por otra parte, se alega (i) la irreparabilidad de la lesión del derecho fundamental a la libertad de expresión e información que se deriva de la imposibilidad de su ejercicio mientras se mantenga la situación actual; (ii) la ausencia de perjuicio para terceros; y (iii) que la medida cautelar sería necesaria para evitar la perturbación de los intereses generales, pues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por sendas providencias de 24 de octubre de 2022,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17 de noviembre de 2022, presentó alegaciones interesando que se deniegue la suspensión. Argumenta que las resoluciones impugnadas se han limitado a denegar la convocatoria de un concurso público, por lo que la pretensión de que se ordene a la administración su convocatoria (i) excede del ámbito propio de la tutela cautelar, que se restringe a la mera suspensión de la resolución impugnada; e (ii) implicaría una anticipación del fallo. A ello añade que no se ha aportado ninguna prueba o justificación sobre la entidad de los perjuicios económicos alegados y que el perjuicio para el derecho fundamental a la libertad de comunicación e información se aprecia como meramente eventual, porque la participación en un concurso no asegura la adjudicación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por escrito registrado el 26 de octubre de 2022, presentó alegaciones, afirmando que “con el escrito de demanda de recurso de amparo se interesó, por medio de otrosí, la adopción de medidas cautelares consistentes en primer lugar, en la suspensión de la vigencia de acto administrativo (desestimación) y sentencias confirmatorias; y en segundo lugar, con carácter subsidiario, suspensión parcial de las resoluciones confirmatorias en lo que respecta a la condena en costas en la primera instancia”, remitiéndose al escrito de demanda para justificar la suspensión; añadiendo que (i) la Ley 13/2022, de 7 de julio, general de comunicación audiovisual, que ha derogado la Ley 7/2010, de 31 de marzo, ya no establece en su articulado el decaimiento de las reservas de dominio público radioeléctrico por el transcurso del tiempo; (ii) hay una nueva sentencia del Tribunal Superior de Justicia de la Comunidad Valenciana que ordena la convocatoria del concurso; y (iii) se han publicado sendas convocatorias de concurso por parte de diversas comunidades autónomas (Extremadura y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consistente en la suspensión de la vigencia de las resoluciones impugnadas en las que se denegaba por un gobierno autonómico la convocatoria de un concurso público para la concesión de licencias disponibles de comunicación audiovisual de radiodifusión sonora digital de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Peticiones idénticas a esta han sido ya reiteradamente denegadas en sendas piezas de suspensión de los diferentes recursos de amparo interpuestos por empresas audiovisuales que contaban con la misma dirección letrada que en el presente (así, por ejemplo, AATC 142/2022 y 143/2022, de 14 de noviembre; 165/2022 y 166/2022, de 28 de noviembre, y 172/2022,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deniega también en este caso la medida cautelar solicitada y se remite a los razonamientos jurídicos expuestos en las citadas resoluciones en las que se señalaban, en esencia, como razones justificativas para ese rechazo que (i) la temporal pérdida de vigencia de la decisión impugnada no tendría un efecto real sobre los derechos invocados porque sería necesaria una ulterior decisión administrativa que acordara la convocatoria del concurso solicitado; (ii) la eventual medida de que se convocara dicho concurso supondría una anticipación de los efectos del fallo; y (iii) no se ha dado cumplimiento a la aportación de un principio de prueba sobre la irreparabilidad de los perjuicios de carácter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lo expuesto por la entidad demandante de amparo en su escrito de alegaciones sobre una eventual suspensión de las costas impuestas en la sentencia de primera instancia, no procede hacer ningún pronunciamiento al respecto al constatarse que en la sentencia de primera instancia y en la providencia de inadmisión del recurso de casación impugnadas se hace constar que no hay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