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61-2023, promovido por don Denís Alexander Rojas López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enero de 2023, la procuradora doña Cristina Álvarez Pérez, bajo la dirección del letrado don César Manuel Pinto Cañón, interpuso demanda de amparo contra la providencia de la Sección Primera de la Sala de lo Contencioso-Administrativo del Tribunal Supremo, dictada en el recurso de casación 5811-2022, contra la sentencia de la Sección Quinta de la Sala de lo Contencioso-Administrativo de la Audiencia Nacional dictada en el procedimiento ordinario 363-2021.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26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César Tolosa Tribiño en el recurso de amparo núm. 61-2023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