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23 de marzo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5253-2021, promovido por el Consejo de Gobierno de la Comunidad Autónoma del País Vasco, en relación con los artículos 15.3 a), 26.2 c), 28.2 y 29.4, y la disposición adicional novena del Reglamento de actuación y funcionamiento del sector público por medios electrónicos, aprobado por Real Decreto 203/2021, de 30 de marzo. Ha sido parte el abogado del Estado, en la representación que ostenta.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28 de julio de 2021, el Consejo de Gobierno de la Comunidad Autónoma del País Vasco promovió conflicto positivo de competencia en relación con los arts. 15.3 a), 26.2 c), 28.2 y 29.4, así como con la disposición adicional novena del Reglamento de actuación y funcionamiento del sector público por medios electrónicos, aprobado por Real Decreto 203/2021, de 30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 demanda mediante la exposición de los términos en los que se dio cumplimiento al trámite previo del requerimiento de incompetencia. Asimismo, da cuenta de que el Gobierno Vasco ha interpuesto el recurso de inconstitucionalidad núm. 1220-2021 contra, entre otros, los arts. 9 y 10 de la Ley 39/2015, de 1 de octubre, del procedimiento administrativo común de las administraciones públicas (LPACAP), en la redacción dada por el art. 3 del Real Decreto-ley 14/2019, de 31 de octubre. Añade que tales artículos modificados son reproducidos por los preceptos reglamentarios contra los que se reacciona en este conflicto, siendo coincidente su objeto, pues en ambos casos se discute la autorización, previo informe vinculante, que se ha reservado el Estado para la admisión de determinados sistemas de identificación y firma electrónica de los ciudadanos ante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demanda justifica el cumplimiento de los requisitos temporales y formales exigidos en la Ley Orgánica del Tribunal Constitucional (LOTC), y, tras identificar los preceptos impugnados, solicita que se declare la incompetencia del Estado para adoptar las disposiciones impugnadas y su consiguiente inconstitucionalidad, así como la nulidad de los preceptos que contienen la autorización y el informe vinculante que dos órganos de la Administración General del Estado han de emitir de forma previa, necesaria —dada la previsión del silencio desestimatorio—, y favorable para la implantación por las administraciones públicas autonómicas de los sistemas de identificación y firma para los ciudadanos que se dirijan a ellas por vía electrónica, basados en sistemas de clave concertada y otros sistemas de identificación y firma distintos de los sistemas de certificados de firma electrónica y certificados de sellos electrónicos avanzados y cualificados expedidos por prestadores incluidos en la “lista de confianza de prestadores de servicios de certificación”.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demandante considera que el conflicto afecta a dos ámbitos esenciales de la correcta prestación del servicio público por las administraciones públicas vascas en sede digital: la identificación de los ciudadanos ante estas administraciones y la firma de los ciudadanos en sus escritos a ellas dirigidos. De los tres sistemas de identificación, centran el conflicto positivo en el previsto en los arts. 9.2 c) y 10.2 c) LPACAP, sobre identificación y firma respectivamente. Es el conocido como “sistema de clave concertada”, y es la forma en la que los ciudadanos pueden identificarse para realizar trámites administrativos y firmar sus escritos ante las administraciones públicas sin disponer de certificado electrónico cualificado. Tras describir su sistema de funcionamiento, más cómodo en su uso que los basados en certificados electrónicos cualificados, expone la necesidad de seguridad de estos sistemas frente a los ciberataques.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el legislador ha regulado el esquema nacional de seguridad como el instrumento nuclear con el que establecer la política de seguridad en la utilización de medios electrónicos en el ámbito de las administraciones públicas, con naturaleza de norma básica, conforme al art. 149.1.18 CE (disposición final primera del Real Decreto 3/2010, de 8 de enero), y expone la finalidad y contenido del esquema nacional de seguridad (arts. 1.1, 31 y 33 del Real Decreto 3/2010), así como su complemento a través de las guías de seguridad e instrucciones técnicas de seguridad (art. 29 del Real Decreto 3/2010), de obligado cumplimiento. Añade a ello la cita de las medidas de organización en materia de seguridad adoptadas por el Gobierno Vasco: Orden de 26 de febrero de 2010, de la consejera de Justicia y Administración Pública; acuerdo del Consejo de Gobierno Vasco de 30 de junio de 2015, mediante el cual se aprobó la estructura organizativa y asignación de roles de seguridad para la administración electrónica del Gobierno Vasco; y los Decretos 21/2012, de 21 de febrero, de administración electrónica, y 36/2020, de 10 de marzo, que regula el modelo de gestión de las tecnologías de la información y la comunicación en el sector público de la Comunidad Autónoma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control estatal al que se someten los sistemas de identificación y firma basados en clave concertada, esto es, a una autorización otorgada por la Secretaría General de Administración Digital del Ministerio de Asuntos Económicos y Transformación Digital, que solo podrá ser denegada por motivos de seguridad pública, previo informe vinculante de la Secretaría de Estado de Seguridad del Ministerio de Interior, no aparece justificado, por lo que no es posible saber a qué obedecen estas medidas tan extraordinarias que afectan a un aspecto tan puntual de la administración electrónica, ya que no se han adoptado medidas similares en ninguna otra faceta de dicha administración. Indica que no se encuentra su justificación en brechas de seguridad específicas en estos sistemas que requieran de medidas tan excepcionales. Señala que tampoco se cumple en este sentido con el principio de proporcionalidad en su triple vertiente, ni obedecen estas medidas a un canon de justo equilibrio o razonabilidad con los objetivos perseguidos. Afirma el representante del Gobierno Vasco que nos encontramos ante una intervención de la Administración General del Estado absolutamente genérica e indeterminada y donde los preceptos cuestionados solo indican que cabe la denegación exclusivamente “por motivos de seguridad pública”. Y entiende que la afirmación del título competencial tal y como se recoge en el art. 149.1.29 CE (disposición final primera del Real Decreto 203/2021), aboca a una absoluta falta de seguridad jurídica y, en su conjunto, supone la vulneración de la competencia autonómica vasca en su capacidad de autoorganización (art. 10.2 del Estatuto de Autonomía para el País Vasco: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también que el marco competencial adecuado de los preceptos impugnados se corresponde con el del art. 149.1.18 CE, al encontrarnos ante una cuestión de organización y procedimiento de las administraciones públicas. Se trata de la regulación de los sistemas de identificación y firma de los ciudadanos ante aquellas, en donde la seguridad de estos sistemas se ve integrada como un aspecto más de su diseño y configuración (STC 100/2019). En tal sentido, tras referirse al fundamento jurídico 9 de la STC 55/2018, de 24 de mayo, sostiene que la STC 142/2018, de 20 de diciembre, encuadró las políticas de ciberseguridad de las redes y sistemas de información de la Generalitat de Cataluña en materia de administración electrónica en el ámbito de la competencia autonómica de los arts. 150 y 159 EAC, y en el marco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misma conclusión se alcanza, a juicio del Gobierno Vasco, a partir de la contestación del Consejo de Ministros al requerimiento efectuado por el Consejo de Gobierno demandante, donde se insiste en que esa autorización e informe tienen por objetivo “únicamente verificar si el sistema validado tecnológicamente por parte de la administración y organismo público del que se trate puede o no producir afecciones o riesgos a la seguridad pública”; y también se deduce de la intervención de la ministra de Economía y Empresa en funciones, señora Calviño Santamaría, en el debate de convalidación del Real Decreto-ley 14/2019. Por esta razón, esta autorización previa y este informe preceptivo constituyen controles de ciberseguridad del sistema de identificación y firma que han de situarse en la materia régimen jurídico de las administraciones públicas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detiene en el análisis de la STC 142/2018, que definió la ciberseguridad, como el “conjunto de herramientas, políticas, conceptos de seguridad, salvaguardas de seguridad, directrices, métodos de gestión de riesgos, acciones, formación, prácticas idóneas, seguros y tecnologías que pueden utilizarse para proteger los activos de la organización y los usuarios en el ciberentorno” (FJ 4), por tanto, como una materia transversal, no reconducible a un único título, y que “afecta a cuestiones relacionadas con la seguridad pública y la defensa, las infraestructuras, redes y sistemas y el régimen general de telecomunicaciones”. En relación con el pronunciamiento referido a la Agencia de Ciberseguridad de Cataluña, indica la demanda que, según el art. 2.2 de la Ley del Parlamento de Cataluña 15/2017, de 25 de julio, “tiene por objetivo la ejecución de las políticas públicas en materia de ciberseguridad”, y que la mencionada sentencia abogó por la constitucionalidad de este precepto “entendido en el sentido de que el objetivo que persigue la agencia [autonómica] se relaciona con la necesidad de proteger las redes y sistemas de información de la administración de la Generalitat y de su sector público y los de los particulares y otras administraciones públicas que se relacionan por medios electrónicos con dicha administración, no es contrario al orden constitucional de distribución de competencias” [FJ 7 b) i)]. Sostiene, asimismo, que, en relación con la atribución a la Generalitat de la función de garantizar la ciberseguridad en la prestación de los servicios de identificación electrónica y de identidad, se validó su constitucionalidad [FJ 7 d)], al referirse a funciones circunscritas al “ámbito del Gobierno y de la administración de la Generalitat y de su sector público dependiente”. De modo que se admitió la constitucionalidad de la garantía de la ciberseguridad en la prestación de los servicios de identificación electrónica y de identidad en los sistemas públicos circunscritos a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el Gobierno Vasco que la seguridad de los sistemas de identificación y firma de los ciudadanos ante las administraciones públicas sea materia de seguridad pública (art. 149.1.29 CE), dada la necesidad de interpretar de modo restrictivo el aspecto material de la seguridad pública y de situar en el mismo de modo predominante las organizaciones y los medios instrumentales, en especial, los cuerpos de seguridad a que se refiere el art. 104 CE (STC 59/1985, de 6 de mayo, FJ 2 in fine). El Estado no puede invocar de forma vacua la seguridad pública para arrogarse competencias de control en las competencias de autoorganización vascas sobre su administración electrónica, y en sentido análogo lo ha rechazado este tribunal en la STC 33/1982, sobre seguridad alimentaria, o en la STC 313/1994, sobre seguridad industrial. Ambas sentencias negaron la prevalencia del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igualmente, que ni el Real Decreto-ley 14/2019 ni el reglamento impugnado permiten deducir motivo alguno que justifique una intervención estatal, amparada en este título, sobre la ordinaria actividad de las administraciones públicas vascas en la autoorganización de su administración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se ha determinado que la materia de que se trata debe insertarse en el art. 149.1.18 CE, la demanda denuncia que los controles establecidos por las normas impugnadas suponen una vulneración del principio de autoorganización del art. 10.2 EAPV y del principio de autonomía de los arts. 2 y 137 CE, pues los informes y autorizaciones estatales previstos en los preceptos impugnados conllevan, a la postre, una posición jerárquica de control estatal sobre la actividad administrativa ordinaria de las comunidades autónomas, no derivada de la propia Constitución o de previsiones legales perfectamente legítimas (SSTC 215/2014 y 55/2018), teniendo carácter genérico o indeterminado, en contra de lo que ha destacado el Tribunal Constitucional [SSTC 154/2015, FJ 6 b), y 14/2018, FJ 10 c)]. Asimismo, es un control innecesario, al existir normativa básica, dictada en virtud del art. 149.1.18 CE, sobre seguridad de los sistemas públicos (esquema nacional de seguridad y las instrucciones técnicas de seguridad), y desproporcionado, no solo por no justificar que existan medidas menos restrictivas, sino por carecer de cualquier explicación.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y para el caso de que se considere que estos controles se insertan en el art. 149.1.29 CE, defiende la demanda que, con fundamento en el art. 17 EAPV, la comunidad autónoma tiene competencias ejecutivas en materia de seguridad pública, invocando al efecto la doctrina establecida, entre otras, en las SSTC 86/2014, FJ 4, y 59/1985, FJ 2 in fine. Se aduce que, aunque las competencias en algunos aspectos de la ciberseguridad fueran reconducidas a los títulos de la seguridad pública del art. 149.1.29 CE o de las telecomunicaciones del art. 149.1.21 CE, ello no comporta que el Estado pueda desarrollar funciones de ejecución excluyendo a las comunidades autónomas. La Comunidad Autónoma del País Vasco tiene competencias de ejecución en materia de seguridad sobre las redes y sistemas públicos, que han sido expresamente reconocidas por el Estado. En tal sentido, se menciona la estrategia de seguridad nacional de 2017, que constituye el marco de referencia para la política de seguridad nacional, y que adopta una concepción amplia de la seguridad, en la que las comunidades autónomas desempeñan un importante papel activo. Por su parte, la estrategia de ciberseguridad nacional (2019), insiste aún más en el papel ejecutivo que desempeñan las comunidades autónomas, contemplando que dispongan de sus CSIRT (por sus siglas en inglés Computer Security Incident Response Team), con competencias propias y con capacidad de reacción ante incidentes de seguridad, en el marco del Real Decreto-ley 12/2018 y del Real Decreto 43/2021, y con multitud de servicios relacionados con esta seguridad pública de los sistemas. Todo ello sin perjuicio de las funciones de coordinación y colaboración entre todas ellas y con instancias estatales e internacionales. Del mismo modo, a las comunidades autónomas se les reconocen funciones ejecutivas en materia del art. 149.1.29 CE en la Ley 8/2011, de 28 de abril, por la que se establecen medidas para la protección de las infraestructuras críticas.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una autorización y un informe de control como los que se imponen en los preceptos impugnados, amparados en el art. 149.1.29 CE, relegan absolutamente las competencias vascas del art. 17 EAPV, y, con vulneración de los principios de colaboración y coordinación, establecen un control jerárquico estatal sobre competencias ejecutivas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alega en la demanda el carácter genérico e indeterminado de los controles establecidos en los preceptos impugnados, proscritos por el Tribunal Constitucional [STC 14/2018, FJ 10 b)], que, a juicio del Gobierno Vasco, no superan el test de proporcionalidad en sus tres escalones (STC 172/2020). Y el mismo resultado se obtiene si se someten al “canon de justo equilibrio, razonabilidad o adecuación de las medidas al objetivo perseguido” (STC 112/2011,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estos mecanismos de control estatal son exorbitantes y desproporcionados, y desbordan el justo equilibro entre los medios empleados y la finalidad pretendida, ya que se somete a autorización previa (incluso con silencio negativo) e informe preceptivo la legítima elección de todas las administraciones públicas del Estado (arts. 9.2 y 10.2 LPACAP) por este sistema de identificación y firma por clave concertada.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solicitando que se tenga por promovido conflicto positivo de competencia contra los arts. 15.3 a), 26.2 c), 28.2 y 29.4, así como contra la disposición adicional novena, del Reglamento de actuación y funcionamiento del sector público por medios electrónicos, aprobado por Real Decreto 203/2021, de 30 de marzo, y que se dicte sentencia por la que declare la incompetencia del Estado para adoptar estas disposiciones por vulneración de las competencias de la Comunidad Autónoma del País Vasco, y de los principios y cánones constitucionales, y su consiguiente declaración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Pleno de este tribunal de 7 de octubre de 2021, a propuesta de la Sección Segunda, se acordó admitir a trámite el presente conflicto positivo de competencia; dar traslado de la demanda y documentos presentados al Gobierno de la Nación, por conducto de su presidente, al objeto de que en el plazo de veinte días y, por medio de la representación procesal que determina el art. 82.2 LOTC, aporte cuantos documentos y alegaciones considere convenientes; comunicar la incoación del conflicto a la Sala de lo Contencioso-Administrativo del Tribunal Supremo, por si ante la misma estuvieran impugnados o se impugnaren los citados preceptos, en cuyo caso se suspenderá el curso del proceso hasta la decisión del conflicto, según dispone el art. 61.2 LOTC; y publicar la incoación del conflicto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publicación tuvo lugar en el “Boletín Oficial del Estado” núm. 247, de 15 de octubre de 2021, y en el “Boletín Oficial del País Vasco” núm. 212, de 25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12 de noviembre de 2021 tuvo entrada en este tribunal escrito de alegaciones del abogado del Estado, en el que solicita que se tenga por evacuado el trámite y, en su día, se dicte sentencia en la que se desestime íntegramente el conflicto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el contenido del conflicto positivo, dedica una primera parte de las alegaciones a encuadrar competencialmente el recurso planteado por el Gobierno del País Vasco, y, una segunda parte, al examen concreto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considera que el conflicto guarda identidad de razón y fundamento con el recurso de inconstitucionalidad núm. 1220-2021, en lo que se refiere a la impugnación de los art. 9 y 10 de la Ley 39/2015, en la redacción dada por el art. 3 del Real Decreto-ley 14/2019. Señala que este, del que traen causa los preceptos de la Ley 39/2015 desarrollados por el real decreto impugnado, contiene medidas cuya finalidad es incrementar el estándar de protección de la seguridad pública frente a las crecientes amenazas que plantea el uso de las nuevas tecnologías, y a la luz siempre de los últimos sucesos producidos en territorio español. Abunda en el concepto de seguridad pública a través de la cita de las SSTC 235/2001, de 13 de diciembre, FJ 6; 25/2004, de 26 de febrero, FJ 6, y 86/2014, de 29 de mayo, FFJJ 2 y 4 . Y, circunscribiéndose dentro de la seguridad pública a la ciberseguridad, la considera materia incardinada en la competencia estatal sobre seguridad pública ex art. 149.1.29 CE, que es el título competencial prevalente en los incisos de los artículos y la disposición impugnados por motivos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justificar el indicado encuadre competencial destaca: (i) que la ciberseguridad es uno de los aspectos imprescindibles a tener en cuenta al configurar la estrategia en materia de seguridad nacional, y la Ley 8/2011, de 28 de abril, que establece medidas para la protección de las infraestructuras críticas se dicta de conformidad con el art. 149.1.29 CE; (ii) que el art. 10 de la Ley 36/2015, de 28 de septiembre, de seguridad nacional —que se dicta al amparo del art. 149.1.4 y 29 CE—, incluye la ciberseguridad en los ámbitos de especial interés para la seguridad nacional; (iii) la ciberseguridad es una de las funciones propias del Centro Nacional de Inteligencia, tal y como resulta de la letra b) del art. 4 de la Ley 11/2002, de 6 de mayo, reguladora del Centro Nacional de Inteligencia; (iv) la Orden PCI/870/2018, de 3 de agosto, confirma la relación entre ciberseguridad y seguridad nacional; (v) la disposición final primera del Real Decreto-ley 12/2018, de 7 de septiembre, de seguridad de las redes y sistemas de información, afirma que dicha norma, que identifica los sectores en los que es necesario garantizar la protección de las redes y sistemas de información, y establece procedimientos para identificar los servicios esenciales ofrecidos en dichos sectores, así como los principales operadores que prestan esos servicios, se dicta al amparo de las competencias estatales del art. 149.1.21 y 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abogado del Estado que las tareas de prevención de actividades delictivas forman parte de la seguridad pública, que alcanza a la sociedad de la información (SSTC 104/1989, de 8 de junio, y 142/2018, de 20 de diciembre). De modo que la regulación de los sistemas y de las medidas de protección relativos a la administración digital no forma parte de las competencias que corresponden a la Comunidad Autónoma del País Vasco en materia de autoorganización, ya que, a través de dicha regulación, el Estado ejerce sus funciones en materia de seguridad pública para la prevención de actividades delictivas y, en particular, de todas aquellas que pueden afectar gravemente al interés general, tal y como se indica al vincularlas a la seguridad nacional, al orden público y a la protección de las telecomunicaciones; medidas de protección que, por su propia finalidad, exceden del ámbito territorial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142/2018, de 20 de diciembre, que resuelve el recurso del presidente del Gobierno contra la Ley 15/2017, de 25 de julio, de la Agencia de Ciberseguridad de Cataluña, declara dicha ley parcialmente inconstitucional precisamente por vulnerar la competencia exclusiva del Estado en materia de seguridad pública del art. 149.1.29 CE, remarcando que dentro de esta competencia se integra la ciberseguridad. De modo que el Tribunal Constitucional, al abordar la ciberseguridad, entiende que esta, como sinónimo de seguridad en la red, se integra en la seguridad pública (art. 149.1.29 CE), así como en las telecomunicaciones (art. 149.1.21 CE). El Tribunal cita en este sentido la conexión existente entre ciberseguridad y seguridad nacional (ATC 29/2018, de 20 de marzo). Y es que “debe partirse del carácter transversal e interconectado de las tecnologías de la información y las comunicaciones y de su conceptuación como un conjunto de mecanismos dirigidos a la protección de las infraestructuras informáticas y de la información digital que albergan los sistemas interconectados”.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alega el abogado del Estado que el Gobierno Vasco, al afirmar que los preceptos impugnados establecen un control jerárquico que desconoce la potestad autoorganizatoria de la comunidad autónoma, asumiendo el Estado una función ejecutiva no amparada en el art. 149.1.18 CE, omite de forma significativa en su examen la justificación de la autorización desde el punto de vista de la ciberseguridad. Considera que la potestad organizativa de la comunidad autónoma se respeta al ser amplio el abanico de posibilidades para el acceso a los servicios públicos online, y que por ello el establecimiento de un régimen de verificación es plenamente compatible con dicha potestad, que únicamente aparece limitada por motivos de seguridad pública, titulo competencial que habilita al Estado para establecer la cuestionada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estas cuestiones fueron abordadas en la STC 55/2018, al referirse al Reglamento (UE) 910/2014, del Parlamento Europeo y del Consejo, de 23 de julio de 2014, conocido como Reglamento eIDAS (acrónimo de su denominación en lengua inglesa: Regulation on electronic identification and trust services for electronic transactions in the internal market). Alude a los requisitos exigidos para la expedición de un certificado cualificado conforme a la Ley 19/2003, de 19 de diciembre, de firma electrónica, y recuerda que, en España, el organismo de supervisión es el Ministerio de Asuntos Económicos y Transformación Digital, al que le corresponde, conforme al Reglamento (UE) 914/2014, en cumplimiento de las medidas de seguridad, verificar si el prestador de servicios de confianza y los servicios de confianza que presta cumplen los requisitos establecidos en el citado reglamento, y, en su caso, la inclusión en la lista de confianza prevista en su art. 22. Se refiere también a la exigencia que se impone a los prestadores cualificados de superar las auditorías al menos cada veinticuatro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del Estado que existe una amplia habilitación para que cada administración pueda utilizar en su ámbito competencial sistemas de clave concertada y otros. Añade que las indicadas exigencias de seguridad no se aplican a estos sistemas de identificación que se prevén en los arts. 9.2 c) y 10.2 c) de la Ley 39/2015, y que desarrollan los incisos aquí impugnados del reglamento aprobado por el Real Decreto 203/2021, por lo que tales sistemas pasan a estar sujetos a una autorización previa meramente de verificación de su seguridad por parte de la Secretaría General de Administración Digital, previo informe de la Secretaría de Estado de Seguridad, y siempre que se garantice un registro previo. La verificación trae causa de la necesidad de salvaguardar la seguridad pública en el proceso de transformación digital de la administración, que extiende el riesgo de ataques que impactan en la seguridad pública y en la propia intimidad de los ciudadanos. Al respecto, la STC 55/2018 ya indicaba: “La Ley 39/2015 tampoco impone los sistemas de identificación electrónica en las relaciones del ciudadano con las administraciones públicas ni establece el régimen del registro previo ni fija requisitos mínimos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la cita de la STC 142/2018, sostiene que “la ciberseguridad se incluye en materias de competencia estatal en cuanto, al referirse a las necesarias acciones de prevención, detección y respuesta frente a las ciberamenazas, afecta a cuestiones relacionadas con la seguridad pública y la defensa, las infraestructuras, redes y sistemas y el régimen general de telecomunicaciones”, sin perjuicio de que las comunidades autónomas puedan “dar una respuesta adecuada a las amenazas que puedan afectar a las redes de comunicación electrónica y sistemas de información de las administraciones públicas”, que se circunscriben exclusivamente a las específicamente referidas al ámbito del Gobierno y de la administración de la comunidad autónoma y su sector público dependiente. Esto es, la competencia de las comunidades autónomas se entiende sin perjuicio de la competencia exclusiva del Estado en materia de seguridad pública, proyectada, en este caso, sobre la ciberseguridad aplicada a las bases del régimen jurídico de la administración electrónica en el conjunto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las competencias de las comunidades autónomas que la propia STC 55/2018, de 24 de mayo, reconoce, no son incompatibles con la introducción de una autorización previa de la Administración General del Estado cuyo objetivo es únicamente verificar si el sistema validado tecnológicamente por parte de la administración u organismo público de que se trate puede o no producir afecciones o riesgos a la seguridad pública, de modo que, si así fuera y solo en este caso, la administración del Estado, tras la evaluación de la Secretaría de Estado de Seguridad del Ministerio del Interior, denegará la autorización con base en dichas consideraciones de seguridad pública. La existencia de mínimos de seguridad por parte del Estado se infería ya de la STC 55/2018, que habilitaba el establecimiento de determinadas condiciones o requisitos, como una verificación de cumplimiento de un nivel mínimo común de seguridad para el conjunto de las administraciones públicas, que es, en definitiva, lo que se realiza a través del Real Decreto-ley 14/2019.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descarta que el régimen de autorización cuestionado afecte a la autoorganización administrativa o a las competencias exclusivas de la comunidad recurrente. Y concluye que la regulación de un sistema de previa autorización es un ejercicio de la libertad de configuración legislativa constitucionalmente garantizada, que se basa en la competencia exclusiva del Estado sobre seguridad pública, reflejada en el art. 149.1.29 CE, que no desborda los límites del art. 149.1.18 CE, garantiza un tratamiento común de los administrados y, por tanto, no invade las competencias autonómicas en materia de organización y procedimientos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destaca que la medida prevista en los incisos de los artículos impugnados no es desproporcionada ni desequilibrada, ya que solo exige una previa autorización con un límite en cuanto a las causas de denegación, y la afectación a la seguridad pública es una opción del legislador que no se puede considerar ni excesiva ni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10 de febrero de 2023, el magistrado don Juan Carlos Campo Moreno comunicó su decisión de abstenerse de conocer del conflicto positivo de competencia núm. 5253-2021, por haber participado, en su condición de ministro de Justicia, en el Consejo de Ministros de 30 de marzo de 2021, en el que se aprobó el Real Decreto 203/2021, de 30 de marzo, por el que se aprueba el Reglamento de actuación y funcionamiento del sector público por medios electrónicos, invocando a tal efecto la causa del art. 219.13 LOPJ. La abstención se estimó justificada por auto de 21 de febrero de 2023, en el que se acordó apartarle definitivamente del conocimiento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marzo de 2023,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conflicto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Gobierno de la Comunidad Autónoma del País Vasco promueve conflicto positivo de competencia contra los arts. 15.3 a), 26.2 c), 28.2 y 29.4, y contra la disposición adicional novena del Reglamento de actuación y funcionamiento del sector público por medios electrónicos, aprobado por Real Decreto 203/2021, de 30 de marzo. La demanda centra su impugnación en la exigencia de autorización previa por la Secretaría General de Administración Digital del Ministerio de Asuntos Económicos y Transformación Digital —que solo podrá ser denegada por motivos de seguridad pública, previo informe vinculante de la Secretaría de Estado de Seguridad del Ministerio del Interior— para que se puedan implantar por las administraciones públicas autonómicas los sistemas de identificación y firma para los ciudadanos que se dirijan a ellas por vía electrónica, basados en sistemas de clave concertada y otros sistemas de identificación y firma electrónica distintos de los previstos en los arts. 9.2 a) y b) y 10.2 a) y b) de la Ley 39/2015, de 1 de octubre, del procedimiento administrativo común de las administraciones públicas, esto es, distintos de sistemas basados en certificados electrónicos cualificados de firma electrónica y sello electrónico expedidos por prestadores incluidos en la “Lista de confianza de prestadores de servicios de certificación”. La exigencia contenida en los preceptos reglamentarios que aquí se cuestionan trae causa de los arts. 9.2 c) y 10.2 c) de la Ley 39/2015, en la redacción dada a los mismos por el art. 3.1 y 2 del Real Decreto-ley 14/2019, de 31 de octubre, por el que se adoptan medidas urgentes por razones de seguridad pública en materia de administración digital, contratación del sector público y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 modo más extenso se expone en los antecedentes de esta resolución, el Gobierno Vasco entiende que los preceptos reglamentarios impugnados vulneran sus competencias de autoorganización (art. 10.2 EAPV) y el principio de autonomía (arts. 2 y 137 CE), como consecuencia del encuadre competencial de tales preceptos en el art. 149.1.29 CE, puesto que ello implica una competencia de control genérico y abstracto, que coloca a la comunidad autónoma en una posición de dependencia jerárquica respecto del Estado, que menoscaba sus competencias de autoorganización. Considera que el encuadre competencial correcto de dichas disposiciones se localiza en el 149.1.18 CE, en cuanto afectan a la organización de las administraciones públicas sobre su administración electrónica, invocando la STC 142/2018, de 20 de diciembre, para afirmar que corresponde a la comunidad autónoma la función de garantizar la ciberseguridad en la prestación de los servicios de identificación electrónica y de identidad en los sistemas públicos. Subsidiariamente, para el caso de que se considere que estos controles se insertan en el art. 149.1.29 CE, defiende que, con fundamento en el art. 17 EAPV, la comunidad autónoma tiene competencias ejecutivas en materia de seguridad sobre las redes y sistemas públicos, que han sido expresamente reconocidas por el Estado, y que son relegadas en virtud del sistema de control impuesto por los preceptos impugnados, con vulneración de los principios de colaboración y cooperación. Por último, estima, asimismo, que los preceptos impugnados suponen unos mecanismos de control exorbitantes y desproporcionados, y que desbordan el justo equilibrio entre los medios empleados y la finalidad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los términos que se recogen más extensamente en los antecedentes, rechaza las vulneraciones denunciadas, defendiendo la incardinación de la normativa impugnada en la competencia estatal sobre seguridad pública del art. 149.1.29 CE, y que se respeta la potestad organizativa de las comunidades autónomas, pues existe una amplia habilitación para que cada administración utilice otros sistemas de identificación y firma, que están sujetos a una autorización previa de mera verificación de su seguridad por la Secretaría General de Administración Digital, ante la necesidad de salvaguardar la seguridad pública en el proceso de transformación digital de la administración. Por todo ello, solicita la desestimación íntegra del conflicto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Pervivencia del conflicto positivo de competencia: extinción por pérdida sobrevenida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previa al enjuiciamiento de las cuestiones de fondo que se suscitan en el presente conflicto, es preciso determinar si permanece vigente la controversia competencial en los términos en los que ha sido planteada, a la vista de las alteraciones normativas producidas en el marco en el que se encuadran los preceptos que el Gobierno Vasco pone en tela de juicio por afectar a sus competencias estatutarias, según entiende, de manera incompatible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ha de ser examinada a la luz de la reiterada doctrina que este tribunal tiene establecida en relación con los procesos de naturaleza competencial, conforme a la cual,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149/2012, de 5 de julio, FJ 2 b)]. De modo que si la normativa en torno a la cual se trabó el conflicto resulta parcialmente modificada por otra que viene a plantear los mismos problemas competenciales la consecuencia será la no desaparición del objeto del conflicto (por todas, STC 133/2012, de 19 de junio, FJ 2)” [STC 65/2013, de 14 de marzo, FJ 2 b); en el mismo sentido, SSTC 88/2014, de 9 de junio, FJ 2; 112/2014, de 7 de julio, FJ 2, y 185/2021, de 28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expuesto en el fundamento jurídico anterior, el Real Decreto 203/2021, de 30 de marzo, por el que se aprueba el Reglamento de actuación y funcionamiento del sector público por medios electrónicos, se dicta, en lo que a los preceptos impugnados se refiere, en ejecución de los art. 9.2 c) y 10.2 c) de la Ley 39/2015, en la redacción dada por el Real Decreto-ley 14/2019 (que ha sido objeto, entre otros, del recurso de inconstitucionalidad núm. 1220-2021, planteado también por el Consejo de Gobierno de la Comunidad Autónoma del País Vasco), que exigían, para la utilización de cualquier otro sistema de identificación y firma electrónica de los interesados que las administraciones públicas consideraran válido (distinto de los sistemas basados en certificados electrónicos cualificados de firma electrónica y sello electrónico expedidos por prestadores incluidos en la “Lista de confianza de prestadores de servicios de certificación”), la previa autorización de la Secretaría General de Administración Digital del Ministerio de Asuntos Económicos y Transformación Digital; autorización que solo podría ser denegada por motivos de seguridad pública y previo informe vinculante de la Secretaría de Estado de Seguridad del Ministerio del Interior. El plazo máximo para emisión de la autorización era de tres meses y los efectos de la falta de resolución dentro del citado plazo eran desestimatorios.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de todos los preceptos del Reglamento de actuación y funcionamiento del sector público por medios electrónicos que el Gobierno Vasco impugna a través del presente conflicto positivo de competencia es plenamente tributaria de esa exigencia de los arts. 9.2 c) y 10.2 c) de la Ley 39/2015 (en cursiva, los incisos discutidos):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15. Sistemas de identificación, firma y verificación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personas interesadas podrán utilizar los siguientes sistemas de identificación y firma en sus relaciones electrónicas con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lo previsto en el artículo 9.2 de la Ley 39/2015, de 1 de octubre, los interesados podrán identificarse electrónicamente ante las administraciones públicas a través de los sistemas descritos en las letras a), b) y c) de dicho artículo. En este último supuesto los sistemas deberán ser autorizados previamente por la Secretaría General de Administración Digital, que solo podrá ser denegada por motivos de seguridad pública, previo informe vinculante de la Secretaría de Estado de Seguridad del Ministerio del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26. Sistemas de identificación de las personas interesadas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particular, de acuerdo con lo previsto en el artículo 9.2 de la Ley 39/2015, de 1 de octubre, serán admitidos los siguientes sistemas de identificación electrónica: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Sistemas de clave concertada y cualquier otro sistema que las administraciones públicas consideren válido, en los términos y condiciones que se establezca, siempre que cuenten con un registro previo como usuario que permita garantizar su identidad, previa autorización por parte de la Secretaría General de Administración Digital del Ministerio de Asuntos Económicos y Transformación Digital, del Ministerio de Asuntos Económicos y Transformación Digital, que solo podrá ser denegada por motivos de seguridad pública, previo informe vinculante de la Secretaría de Estado de Seguridad del Ministerio del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28. Sistemas de clave concertada y otros sistemas de identificación de las personas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sistemas de identificación a que se refiere el apartado anterior deberán ser autorizados previamente por la Secretaría General de Administración Digital del Ministerio de Asuntos Económicos y Transformación Digital, que solo podrá ser denegada por motivos de seguridad pública, previo informe vinculante de la Secretaría de Estado de Seguridad del Ministerio del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29. Sistemas de firma electrónica de las personas interesadas admitidos por las Administraciones Públicas y régimen de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sistemas de firma electrónica previstos en la letra c) del apartado 1 deberán contar con la previa autorización de la Secretaría General de Administración Digital del Ministerio de Asuntos Económicos y Transformación Digital, que solo podrá ser denegada por motivos de seguridad pública, previo informe vinculante de la Secretaría de Estado de Seguridad del Ministerio del Interior. Asimismo, deberán cumplir con lo previsto en el Real Decreto 3/2010, de 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novena. Autorización de los sistemas de identificación previstos en el artículo 9.2 c) y de los sistemas de firma previstos en el artículo 10.2 c) de la Ley 39/2015, de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sistemas de identificación a que se refiere el artículo 9.2 c) y los sistemas de firma a que se refiere el artículo 10.2 c) de la ley 39/2015, de 1 de octubre, que, en ambos casos, se hubieran puesto en servicio hasta el 6 de noviembre de 2019, fecha de entrada en vigor de la modificación de dichos artículos en virtud del Real Decreto-ley 14/2019, de 31 de octubre, por el que se adoptan medidas urgentes por razones de seguridad pública en materia de administración digital, contratación del sector público y telecomunicaciones, no requerirán la autorización de la Secretaría General de Administración Digital del Ministerio de Asuntos Económicos y Transformación Digital, previo informe vinculante de la Secretaría de Estado de Seguridad del Ministerio del Interior, siempre y cuando no hayan sido modificados tras dicha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sistemas que, tras el 6 de noviembre de 2019, hayan sido autorizados en aplicación de las previsiones de los artículos 9.2 c) y 10.2 c) de la Ley 39/2015, de 1 de octubre, y sean modificados posteriormente, deberán ser objeto de una nueva autorización previa a su puesta en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el propio Consejo de Gobierno de la Comunidad Autónoma del País Vasco destaca en su demanda, ha promovido también el recurso de inconstitucionalidad 1220-2021 contra el Real Decreto-ley 14/2019, de 31 de octubre, dirigiendo su impugnación, entre otros aspectos, contra la modificación de los arts. 9 y 10 de la Ley 39/2015, de 1 de octubre, del procedimiento administrativo común de las administraciones públicas, que lleva a cabo dicho real decreto-ley. Y reconoce la directa relación de esos dos preceptos con los que en este proceso se impugnan, al afirmar que “[e]stas dos normas modificadas son reproducidas por los preceptos reglamentarios contra los que se reacciona en este conflicto, por lo que existe una íntima conexión entre aquel recurso y este conflicto, toda vez que el objeto coincide en ambos casos, en concreto, una autorización, previo informe vinculante, que se ha reservado el Estado para la admisión de determinados sistemas de identificación y firma de los ciudadanos ante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precisar que los reseñados preceptos reglamentarios no han sufrido modificación alguna en su redacción tras la interposición del conflicto positivo de competencia por parte del Consejo de Gobierno de la Comunidad Autónoma del País Vasco, por lo que, formalmente, el conflicto positivo de competencia que nos ocupa subsistiría. Sin embargo, este tribunal ha de tomar en consideración (al igual que hizo en el FJ 2 de la sentencia de 23 de febrero de 2023, que resolvió el recurso de inconstitucionalidad núm. 718-2020, en el que también se impugnaban diversos preceptos del Real Decreto-ley 14/2019, de 31 de octubre) que los arts. 9.2 c) y 10.2 c) de la Ley 39/2015 (en la redacción que les dio el art. 3 del Real Decreto-ley 14/2019) han sido modificados por la disposición final primera, apartados primero y segundo, de la Ley 11/2022, de 28 de junio, general de telecomunicaciones, en un aspecto que resulta esencial a los efectos de este conflicto: se sustituye la necesidad de previa autorización de la Secretaría General de Administración Digital del Ministerio de Asuntos Económicos y Transformación Digital y el previo informe vinculante de la Secretaría de Estado de Seguridad para la implantación por parte de las administraciones públicas de otros sistemas de identificación y firma electrónica de los interesados ante ellas, por un sistema de comunicación previa a esa misma Secretaría General de Administración Digital, “acompañada de una declaración responsable de que se cumple con todos los requisitos establecidos en la normativa vigente”. Con carácter previo a la eficacia jurídica del sistema, “habrán de transcurrir dos meses desde dicha comunicación, durante los cuales el órgano estatal competente por motivos de seguridad pública podrá acudir a la vía jurisdiccional, previo informe vinculante de la Secretaría de Estado de Seguridad, que deberá emitir en el plazo de diez días desde su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aspecto que motivaba de manera exclusiva la impugnación de los preceptos del Reglamento de actuación y funcionamiento del sector público por medios electrónicos, esto es, la necesidad de obtener la autorización previa de la administración del Estado para la implantación de clave concertada y de otros sistemas de identificación y firma electrónica de los interesados por parte de las administraciones públicas, ha desaparecido de las normas legales que servían de fundamento a los arts. 15.3 a), 26.2 c), 28.2 y 29.4, así como a la disposición adicional novena del referido reglamento, que son el objeto del presente conflicto positivo de competencia. Ello determina que, aunque formalmente el conflicto subsistiera, porque el Reglamento aprobado por el Real Decreto 203/2021, de 30 de marzo, no ha sido modificado para adaptarlo a la nueva regulación legal, sin embargo, hay que concluir que, materialmente, el conflicto ha perdido su objeto, porque se debe entender que el aspecto sobre el que se asentaba la impugnación y que fundamentaba las tachas competenciales articuladas por el Consejo de Gobierno de la Comunidad Autónoma del País Vasco ha desaparecido. En efecto, las previsiones reglamentarias que se discuten en el conflicto han de considerarse derogadas, al resultar incompatibles con el actual contenido de los arts. 9.2 c) y 10.2 c) de la Ley 39/2015, en la redacción dada por la disposición final primera de la Ley general de telecomunicaciones, sea por aplicación del párrafo c) de la disposición derogatoria de esta, sea en virtud del apartado 1 de la disposición derogatoria de la Ley 39/2015, al tratarse de normas de inferior rango que se oponen a lo establecido en esta última ley tras su modificación. Y, comoquiera que el problema competencial que planteaba el conflicto no subsiste tras esa modificación legal, en aplicación de la doctrina constitucional antes expuesta debemos colegir obligadamente que el presente conflicto de competencia ha perdido sobrevenidamente su objeto, en tanto que el marco normativo actual ya no establece la necesidad de obtener la autorización previa de la Secretaría General de Administración Digital del Ministerio de Asuntos Económicos y Transformación Digital, ni el previo informe vinculante de la Secretaría de Estado de Seguridad, controvertidos en este proceso, para que las administraciones públicas puedan establecer cualquier otro sistema de identificación y firma electrónica de los interesados que consideren válido, distintos de los basados en certificados electrónicos cualificados de firma electrónica o sello electrónico a que se refieren los arts. 9.2 a) y b) y 10.2 a) y b)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concluir que ha desaparecido de forma sobrevenida el objeto del conflicto positivo de competencia deducido contra los arts. 15.3 a), 26.2 c), 28.2 y 29.4, así como contra la disposición adicional novena, del Reglamento de actuación y funcionamiento del sector público por medios electrónicos, aprobado por Real Decreto 203/2021, de 30 de marzo, y, consiguientemente, el proceso ha quedado extinguido, lo que convierte en innecesario nuestro pronunciamiento sobre las cuestiones planteadas por el Gobierno Vasco en el suplico del escrito de interposición de este conflicto positivo de 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extinguido, por desaparición sobrevenida de su objeto, el conflicto positivo de competencia promovido por el Consejo de Gobierno de la Comunidad Autónoma del País Vasco contra los arts. 15.3 a), 26.2 c), 28.2 y 29.4, y la disposición adicional novena del Reglamento de actuación y funcionamiento del sector público por medios electrónicos, aprobado por Real Decreto 203/2021, de 30 de marzo.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