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318-2023, promovido por don Aitor Albillos Blanco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enero de 2023 la procuradora de los tribunales doña Ana María Araúz de Robles Villalón, en nombre y representación de don Aitor Albillos Blanco y bajo la dirección del letrado don Francisco Javier Araúz de Robles Dávila, interpuso demanda de amparo contra la providencia de 1 de diciembre de 2022, dictada por la Sección Primera de la Sala de lo Contencioso-Administrativo del Tribunal Supremo en recurso de casación 2841-2022.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318-2023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