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119</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9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355-2023, promovido por Térmica AFAP, S.A.,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procurador de los tribunales don Roberto Alonso Verdú, en nombre y representación de Térmica AFAP, S.A., y bajo la dirección del letrado don Ignacio Grangel Vicente, interpuso demanda de amparo contra providencia de 23 de noviembre de 2022, dictada por la Sección Primera de la Sala de lo Contencioso-Administrativo del Tribunal Supremo, en recurso de casación núm. 1408-2022.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7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de la Ley Orgánica del Poder Judicial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355-2023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