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2587-2022, promovido por Castillo Ayno Alberto y Ramos Ramos Tomás, C.B.,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abril de 2022 la procuradora de los tribunales doña Gloria Teresa Robledo Machuca, en nombre y representación de Castillo Ayno Alberto y Ramos Ramos Tomás, C.B., y bajo la dirección del letrado don Francisco Javier Benito Sánchez, interpuso demanda de amparo contra la providencia de 2 de marzo de 2022 dictada por la Sección Primera de la Sala de lo Contencioso-Administrativo del Tribunal Supremo, en el recurso de casación núm. 2277-2021.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el art.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2587-2022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