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151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4898-2022, promovido por Renfe Operadora E.P.E. y Renfe Mercancías S.M.E., S.A.,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julio de 2022 la procuradora de los tribunales doña Laura Albarrán Gil, en nombre y representación de Renfe Operadora E.P.E. y Renfe Mercancías S.M.E., S.A., y bajo la dirección del letrado don Helmut Brokelmam, interpuso demanda de amparo contra la providencia de fecha 18 de mayo de 2022 dictada por la Sección Primera de la Sala de lo Contencioso-Administrativo del Tribunal Supremo en el recurso de casación núm. 7270-2021.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7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4898-2022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