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los recursos de amparo números 4728 y 4730-2021, promovidos por don Salvador Reina Calderón y don Daniel Castells Batlló, en relación con los autos dictados por la Sección Séptima de la Audiencia Provincial de Barcelona de 20 de abril y 20 de mayo de 2021, por los que se deniega la sustitución de la pena de un año y seis meses de pris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sendos escritos registrados en este tribunal el 9 de julio de 2021, don Salvador Reina Calderón y don Daniel Castells Batlló, representados por el procurador de los tribunales don Miguel Montero Reiter y bajo la dirección respectivamente de las letradas doña María Amparo Bataller Pardo y doña Laura Bardají Salinas, se interpusieron dos recursos de amparo contra los autos dictados por la Sección Séptima de la Audiencia Provincial de Barcelona de 20 de abril y 20 de mayo de 2021. La presentación de dichos escritos dio lugar a los recursos de amparo núm. 4728-2021 y 4730-2021, cuyo conocimiento correspondió a la Sección Terc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que los referidos recursos de amparo quedaron conclusos para sentencia, por diligencia de ordenación de 6 de marzo de 2023 se concedió audiencia al Ministerio Fiscal y a las partes por plazo común de diez días por si procediera su acumulación, de conformidad con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From Inversiones Energéticas, S.L., de don Salvador Reina Calderón y el Ministerio Fiscal, manifestaron su conformidad a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83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os autos dictados por la Sección Séptima de la Audiencia Provincial de Barcelona de 20 de abril y 20 de mayo de 2021, procedentes del procedimiento de ejecución penal 59-2020 por los que se denegó la sustitución de la ejecución de la pena de un año y seis meses de prisión impuesta a los recurrentes por un año de trabajos en beneficio de la comunidad y un año de multa. Además, los recursos de amparo se encuentran en la misma fase procesal tras su admisión a trámite, y las quejas, relativas a la vulneración de derecho fundamental a la tutela judicial efectiva (art. 24.1 CE) en relación con los derechos a la libertad (art. 17.1 CE), el principio de legalidad penal e irretroactividad de las normas penales (arts. 25.1 y 9.3 CE), son comunes en sus fundamentos, tanto en los aspectos fácticos como en los jurídicos, al plantearse en términos idén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4728-2021 y 4730-2021,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4730-2021, al recurso de amparo registrado con el número 4728-2021.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